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1BF1" w14:textId="77777777" w:rsidR="00CB4C1A" w:rsidRPr="00CB4C1A" w:rsidRDefault="00CB4C1A" w:rsidP="00F42590">
      <w:pPr>
        <w:spacing w:before="0" w:after="240"/>
        <w:rPr>
          <w:color w:val="00B7B7" w:themeColor="accent2"/>
          <w:sz w:val="40"/>
          <w:szCs w:val="40"/>
        </w:rPr>
      </w:pPr>
      <w:r w:rsidRPr="00CB4C1A">
        <w:rPr>
          <w:color w:val="00B7B7" w:themeColor="accent2"/>
          <w:sz w:val="40"/>
          <w:szCs w:val="40"/>
        </w:rPr>
        <w:t>Residential Activation Fund Round 1</w:t>
      </w:r>
    </w:p>
    <w:p w14:paraId="68F4BF1B" w14:textId="279EBAE0" w:rsidR="00850596" w:rsidRPr="00CB4C1A" w:rsidRDefault="00CD6B49" w:rsidP="00663DCF">
      <w:pPr>
        <w:spacing w:before="0" w:after="240"/>
        <w:rPr>
          <w:sz w:val="32"/>
          <w:szCs w:val="32"/>
        </w:rPr>
      </w:pPr>
      <w:r w:rsidRPr="00CB4C1A">
        <w:rPr>
          <w:sz w:val="32"/>
          <w:szCs w:val="32"/>
        </w:rPr>
        <w:t>Risk identification and mitigation</w:t>
      </w:r>
      <w:r w:rsidR="00B26052">
        <w:rPr>
          <w:sz w:val="32"/>
          <w:szCs w:val="32"/>
        </w:rPr>
        <w:t xml:space="preserve"> </w:t>
      </w:r>
      <w:r w:rsidR="000425DB">
        <w:rPr>
          <w:sz w:val="32"/>
          <w:szCs w:val="32"/>
        </w:rPr>
        <w:t>– Guide and optional template</w:t>
      </w:r>
    </w:p>
    <w:tbl>
      <w:tblPr>
        <w:tblW w:w="5052" w:type="pct"/>
        <w:shd w:val="clear" w:color="auto" w:fill="CAD7E2" w:themeFill="text2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602"/>
      </w:tblGrid>
      <w:tr w:rsidR="00CD6B49" w:rsidRPr="000D1247" w14:paraId="23DD192F" w14:textId="77777777" w:rsidTr="005A3925">
        <w:trPr>
          <w:trHeight w:val="612"/>
          <w:tblHeader/>
        </w:trPr>
        <w:tc>
          <w:tcPr>
            <w:tcW w:w="709" w:type="dxa"/>
            <w:shd w:val="clear" w:color="auto" w:fill="263746" w:themeFill="text2"/>
            <w:vAlign w:val="center"/>
          </w:tcPr>
          <w:p w14:paraId="7730C920" w14:textId="77777777" w:rsidR="00CD6B49" w:rsidRPr="000D1247" w:rsidRDefault="00CD6B49" w:rsidP="005A3925">
            <w:pPr>
              <w:suppressAutoHyphens/>
              <w:spacing w:before="0" w:after="0" w:line="276" w:lineRule="auto"/>
            </w:pPr>
            <w:r w:rsidRPr="000D1247">
              <w:rPr>
                <w:noProof/>
              </w:rPr>
              <w:drawing>
                <wp:inline distT="0" distB="0" distL="0" distR="0" wp14:anchorId="739D098A" wp14:editId="1D432317">
                  <wp:extent cx="277200" cy="277200"/>
                  <wp:effectExtent l="0" t="0" r="8890" b="8890"/>
                  <wp:docPr id="96462400" name="Graphic 3" descr="Inform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89349" name="Graphic 1921389349" descr="Information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5" w:type="dxa"/>
            <w:shd w:val="clear" w:color="auto" w:fill="263746" w:themeFill="text2"/>
            <w:vAlign w:val="center"/>
          </w:tcPr>
          <w:p w14:paraId="25A0C61D" w14:textId="77777777" w:rsidR="00CD6B49" w:rsidRPr="00804773" w:rsidRDefault="00CD6B49" w:rsidP="005A3925">
            <w:pPr>
              <w:suppressAutoHyphens/>
              <w:spacing w:before="0" w:after="0"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804773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Guidance</w:t>
            </w:r>
          </w:p>
        </w:tc>
      </w:tr>
      <w:tr w:rsidR="00CD6B49" w:rsidRPr="000D1247" w14:paraId="51C0FC54" w14:textId="77777777" w:rsidTr="006D75C4">
        <w:trPr>
          <w:trHeight w:val="284"/>
        </w:trPr>
        <w:tc>
          <w:tcPr>
            <w:tcW w:w="10304" w:type="dxa"/>
            <w:gridSpan w:val="2"/>
            <w:shd w:val="clear" w:color="auto" w:fill="CAD7E2" w:themeFill="text1" w:themeFillTint="33"/>
          </w:tcPr>
          <w:p w14:paraId="234051E1" w14:textId="5ACD599E" w:rsidR="005D4EEE" w:rsidRDefault="005D4EEE" w:rsidP="005D4EEE">
            <w:pPr>
              <w:pStyle w:val="Breakouttext"/>
              <w:keepLines/>
              <w:numPr>
                <w:ilvl w:val="0"/>
                <w:numId w:val="7"/>
              </w:numPr>
              <w:suppressAutoHyphens/>
              <w:spacing w:before="100" w:beforeAutospacing="1" w:line="276" w:lineRule="auto"/>
              <w:ind w:left="357" w:hanging="357"/>
              <w:rPr>
                <w:sz w:val="22"/>
                <w:szCs w:val="22"/>
              </w:rPr>
            </w:pPr>
            <w:r w:rsidRPr="00B26052">
              <w:rPr>
                <w:sz w:val="22"/>
                <w:szCs w:val="22"/>
              </w:rPr>
              <w:t xml:space="preserve">Applicants must submit </w:t>
            </w:r>
            <w:r w:rsidR="00223309" w:rsidRPr="00B26052">
              <w:rPr>
                <w:sz w:val="22"/>
                <w:szCs w:val="22"/>
              </w:rPr>
              <w:t xml:space="preserve">with your application </w:t>
            </w:r>
            <w:r w:rsidRPr="00B26052">
              <w:rPr>
                <w:sz w:val="22"/>
                <w:szCs w:val="22"/>
              </w:rPr>
              <w:t xml:space="preserve">a risk identification and mitigation strategy addressing all risks linked to the Project. </w:t>
            </w:r>
          </w:p>
          <w:p w14:paraId="761562A2" w14:textId="059822A7" w:rsidR="000425DB" w:rsidRPr="000425DB" w:rsidRDefault="000425DB" w:rsidP="000425DB">
            <w:pPr>
              <w:pStyle w:val="ListParagraph"/>
              <w:numPr>
                <w:ilvl w:val="0"/>
                <w:numId w:val="7"/>
              </w:numPr>
              <w:rPr>
                <w:rFonts w:eastAsiaTheme="minorHAnsi" w:cstheme="minorBidi"/>
                <w:sz w:val="22"/>
                <w:szCs w:val="22"/>
              </w:rPr>
            </w:pPr>
            <w:r w:rsidRPr="000425DB">
              <w:rPr>
                <w:rFonts w:eastAsiaTheme="minorHAnsi" w:cstheme="minorBidi"/>
                <w:sz w:val="22"/>
                <w:szCs w:val="22"/>
              </w:rPr>
              <w:t>The template at Table 1 (see next page) may be used, or you can provide a Risk identification and mitigation strategy in your own template if it provides a similar level of detail. Inadequate detail may affect the outcome of assessment of your Project.</w:t>
            </w:r>
          </w:p>
          <w:p w14:paraId="741BE0F6" w14:textId="61D76A1B" w:rsidR="00CD6B49" w:rsidRPr="00B26052" w:rsidRDefault="00CD6B49" w:rsidP="00804773">
            <w:pPr>
              <w:pStyle w:val="Breakouttext"/>
              <w:keepLines/>
              <w:numPr>
                <w:ilvl w:val="0"/>
                <w:numId w:val="7"/>
              </w:numPr>
              <w:suppressAutoHyphens/>
              <w:spacing w:before="100" w:beforeAutospacing="1" w:line="276" w:lineRule="auto"/>
              <w:ind w:left="357" w:hanging="357"/>
              <w:rPr>
                <w:sz w:val="22"/>
                <w:szCs w:val="22"/>
              </w:rPr>
            </w:pPr>
            <w:r w:rsidRPr="00B26052">
              <w:rPr>
                <w:sz w:val="22"/>
                <w:szCs w:val="22"/>
              </w:rPr>
              <w:t xml:space="preserve">Risks include major factors which could significantly influence the timing, cost or scope of the Project and associated work. Applicants must specify </w:t>
            </w:r>
            <w:r w:rsidR="00C33357" w:rsidRPr="00B26052">
              <w:rPr>
                <w:sz w:val="22"/>
                <w:szCs w:val="22"/>
              </w:rPr>
              <w:t xml:space="preserve">in </w:t>
            </w:r>
            <w:r w:rsidR="00C33357" w:rsidRPr="00B26052">
              <w:rPr>
                <w:b/>
                <w:bCs/>
                <w:sz w:val="22"/>
                <w:szCs w:val="22"/>
              </w:rPr>
              <w:t xml:space="preserve">Table </w:t>
            </w:r>
            <w:r w:rsidR="00226BAD" w:rsidRPr="00B26052">
              <w:rPr>
                <w:b/>
                <w:bCs/>
                <w:sz w:val="22"/>
                <w:szCs w:val="22"/>
              </w:rPr>
              <w:t>1</w:t>
            </w:r>
            <w:r w:rsidR="00C33357" w:rsidRPr="00B26052">
              <w:rPr>
                <w:sz w:val="22"/>
                <w:szCs w:val="22"/>
              </w:rPr>
              <w:t xml:space="preserve"> </w:t>
            </w:r>
            <w:r w:rsidRPr="00B26052">
              <w:rPr>
                <w:sz w:val="22"/>
                <w:szCs w:val="22"/>
              </w:rPr>
              <w:t>the likelihood of those risks occurring and ensure that adequate and suitable risk mitigation strategies are in place.</w:t>
            </w:r>
            <w:r w:rsidR="00226BAD" w:rsidRPr="00B26052">
              <w:rPr>
                <w:sz w:val="22"/>
                <w:szCs w:val="22"/>
              </w:rPr>
              <w:t xml:space="preserve"> Risks must be identified in line with </w:t>
            </w:r>
            <w:r w:rsidR="005B18A8" w:rsidRPr="00B26052">
              <w:rPr>
                <w:sz w:val="22"/>
                <w:szCs w:val="22"/>
              </w:rPr>
              <w:t xml:space="preserve">the risk matrix in </w:t>
            </w:r>
            <w:r w:rsidR="00226BAD" w:rsidRPr="00B26052">
              <w:rPr>
                <w:b/>
                <w:bCs/>
                <w:sz w:val="22"/>
                <w:szCs w:val="22"/>
              </w:rPr>
              <w:t>Table 2</w:t>
            </w:r>
            <w:r w:rsidR="00226BAD" w:rsidRPr="00B26052">
              <w:rPr>
                <w:sz w:val="22"/>
                <w:szCs w:val="22"/>
              </w:rPr>
              <w:t>.</w:t>
            </w:r>
          </w:p>
          <w:p w14:paraId="2FE425DA" w14:textId="0B6D1F1C" w:rsidR="009532CC" w:rsidRPr="00B26052" w:rsidRDefault="009532CC" w:rsidP="009532CC">
            <w:pPr>
              <w:pStyle w:val="Breakouttext"/>
              <w:keepLines/>
              <w:numPr>
                <w:ilvl w:val="0"/>
                <w:numId w:val="7"/>
              </w:numPr>
              <w:suppressAutoHyphens/>
              <w:spacing w:before="100" w:beforeAutospacing="1" w:line="276" w:lineRule="auto"/>
              <w:ind w:left="357" w:hanging="357"/>
              <w:rPr>
                <w:sz w:val="22"/>
                <w:szCs w:val="22"/>
              </w:rPr>
            </w:pPr>
            <w:r w:rsidRPr="00B26052">
              <w:rPr>
                <w:sz w:val="22"/>
                <w:szCs w:val="22"/>
              </w:rPr>
              <w:t xml:space="preserve">If additional details are required to better explain any identified risk, please include the information after </w:t>
            </w:r>
            <w:r w:rsidR="00226BAD" w:rsidRPr="00B26052">
              <w:rPr>
                <w:b/>
                <w:bCs/>
                <w:sz w:val="22"/>
                <w:szCs w:val="22"/>
              </w:rPr>
              <w:t>Table 1</w:t>
            </w:r>
            <w:r w:rsidRPr="00B26052">
              <w:rPr>
                <w:sz w:val="22"/>
                <w:szCs w:val="22"/>
              </w:rPr>
              <w:t xml:space="preserve"> below.  </w:t>
            </w:r>
          </w:p>
          <w:p w14:paraId="6C9222BE" w14:textId="09143422" w:rsidR="00CD6B49" w:rsidRPr="00B26052" w:rsidRDefault="00CD6B49" w:rsidP="00804773">
            <w:pPr>
              <w:pStyle w:val="Breakouttext"/>
              <w:keepLines/>
              <w:numPr>
                <w:ilvl w:val="0"/>
                <w:numId w:val="7"/>
              </w:numPr>
              <w:suppressAutoHyphens/>
              <w:spacing w:before="100" w:beforeAutospacing="1" w:line="276" w:lineRule="auto"/>
              <w:ind w:left="357" w:hanging="357"/>
              <w:rPr>
                <w:sz w:val="22"/>
                <w:szCs w:val="22"/>
              </w:rPr>
            </w:pPr>
            <w:r w:rsidRPr="00B26052">
              <w:rPr>
                <w:sz w:val="22"/>
                <w:szCs w:val="22"/>
              </w:rPr>
              <w:t>Examples of risks include:</w:t>
            </w:r>
          </w:p>
          <w:tbl>
            <w:tblPr>
              <w:tblStyle w:val="TableGrid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5"/>
              <w:gridCol w:w="3747"/>
              <w:gridCol w:w="3225"/>
            </w:tblGrid>
            <w:tr w:rsidR="00804773" w:rsidRPr="00B26052" w14:paraId="7263DCE2" w14:textId="77777777" w:rsidTr="00F42590">
              <w:tc>
                <w:tcPr>
                  <w:tcW w:w="2835" w:type="dxa"/>
                  <w:shd w:val="clear" w:color="auto" w:fill="auto"/>
                </w:tcPr>
                <w:p w14:paraId="3D4BCA16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planning assumptions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1F947999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costs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E09A0A0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cultural heritage</w:t>
                  </w:r>
                </w:p>
              </w:tc>
            </w:tr>
            <w:tr w:rsidR="00804773" w:rsidRPr="00B26052" w14:paraId="4083725A" w14:textId="77777777" w:rsidTr="00F42590">
              <w:tc>
                <w:tcPr>
                  <w:tcW w:w="2835" w:type="dxa"/>
                  <w:shd w:val="clear" w:color="auto" w:fill="auto"/>
                </w:tcPr>
                <w:p w14:paraId="7C1DC43B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Native Title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1CFE0EA3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resumption of land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98438CA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public consultation</w:t>
                  </w:r>
                </w:p>
              </w:tc>
            </w:tr>
            <w:tr w:rsidR="00804773" w:rsidRPr="00B26052" w14:paraId="5D69E43F" w14:textId="77777777" w:rsidTr="00F42590">
              <w:tc>
                <w:tcPr>
                  <w:tcW w:w="2835" w:type="dxa"/>
                  <w:shd w:val="clear" w:color="auto" w:fill="auto"/>
                </w:tcPr>
                <w:p w14:paraId="0DC6BFCA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geotechnical / soil test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1CB85ABD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environmental management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77DBA88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flooding</w:t>
                  </w:r>
                </w:p>
              </w:tc>
            </w:tr>
            <w:tr w:rsidR="00804773" w:rsidRPr="00B26052" w14:paraId="178B7E6A" w14:textId="77777777" w:rsidTr="00F42590">
              <w:tc>
                <w:tcPr>
                  <w:tcW w:w="2835" w:type="dxa"/>
                  <w:shd w:val="clear" w:color="auto" w:fill="auto"/>
                </w:tcPr>
                <w:p w14:paraId="426633DB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quality standards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65E032C5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political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508A414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design risks</w:t>
                  </w:r>
                </w:p>
              </w:tc>
            </w:tr>
            <w:tr w:rsidR="00804773" w:rsidRPr="00B26052" w14:paraId="261094FB" w14:textId="77777777" w:rsidTr="00F42590">
              <w:tc>
                <w:tcPr>
                  <w:tcW w:w="2835" w:type="dxa"/>
                  <w:shd w:val="clear" w:color="auto" w:fill="auto"/>
                </w:tcPr>
                <w:p w14:paraId="5D7D789B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constructability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3188B2D1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traffic management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440D3F7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Project funding</w:t>
                  </w:r>
                </w:p>
              </w:tc>
            </w:tr>
            <w:tr w:rsidR="00804773" w:rsidRPr="00B26052" w14:paraId="0FFF85B5" w14:textId="77777777" w:rsidTr="00F42590">
              <w:tc>
                <w:tcPr>
                  <w:tcW w:w="2835" w:type="dxa"/>
                  <w:shd w:val="clear" w:color="auto" w:fill="auto"/>
                </w:tcPr>
                <w:p w14:paraId="65302A63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8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utility services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14:paraId="03D70391" w14:textId="77777777" w:rsidR="00CD6B49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workforce considerations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C82B835" w14:textId="77777777" w:rsidR="00883C3F" w:rsidRPr="00B26052" w:rsidRDefault="00CD6B49" w:rsidP="006F7232">
                  <w:pPr>
                    <w:keepLines/>
                    <w:numPr>
                      <w:ilvl w:val="0"/>
                      <w:numId w:val="9"/>
                    </w:numPr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26052">
                    <w:rPr>
                      <w:rFonts w:cs="Arial"/>
                      <w:sz w:val="22"/>
                      <w:szCs w:val="22"/>
                    </w:rPr>
                    <w:t>safety.</w:t>
                  </w:r>
                </w:p>
                <w:p w14:paraId="6AB07EDB" w14:textId="3D8E5AAF" w:rsidR="004A0D80" w:rsidRPr="00B26052" w:rsidRDefault="004A0D80" w:rsidP="004A0D80">
                  <w:pPr>
                    <w:keepLines/>
                    <w:suppressAutoHyphens/>
                    <w:spacing w:before="100" w:beforeAutospacing="1" w:after="100" w:afterAutospacing="1" w:line="276" w:lineRule="auto"/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58B924AE" w14:textId="43A82200" w:rsidR="00CD6B49" w:rsidRPr="004A0D80" w:rsidRDefault="00883C3F" w:rsidP="00883C3F">
            <w:pPr>
              <w:suppressAutoHyphens/>
              <w:spacing w:after="0" w:line="276" w:lineRule="auto"/>
              <w:rPr>
                <w:b/>
                <w:bCs/>
                <w:i/>
                <w:iCs/>
              </w:rPr>
            </w:pPr>
            <w:r w:rsidRPr="00B26052">
              <w:rPr>
                <w:b/>
                <w:bCs/>
                <w:i/>
                <w:iCs/>
                <w:sz w:val="22"/>
                <w:szCs w:val="22"/>
              </w:rPr>
              <w:t>NOTE: This guidance box can be deleted prior to submitting your application.</w:t>
            </w:r>
          </w:p>
        </w:tc>
      </w:tr>
    </w:tbl>
    <w:p w14:paraId="62778D64" w14:textId="77777777" w:rsidR="00B26052" w:rsidRPr="00850596" w:rsidRDefault="00B26052" w:rsidP="0015555C">
      <w:pPr>
        <w:suppressAutoHyphens/>
        <w:spacing w:before="480" w:line="271" w:lineRule="auto"/>
        <w:rPr>
          <w:rFonts w:eastAsiaTheme="minorHAnsi" w:cstheme="minorBidi"/>
        </w:rPr>
      </w:pPr>
    </w:p>
    <w:p w14:paraId="5E4C1AE0" w14:textId="77777777" w:rsidR="00B26052" w:rsidRPr="00850596" w:rsidRDefault="00B26052">
      <w:pPr>
        <w:spacing w:before="0" w:after="0"/>
        <w:rPr>
          <w:rFonts w:eastAsiaTheme="minorHAnsi" w:cstheme="minorBidi"/>
        </w:rPr>
      </w:pPr>
      <w:r w:rsidRPr="00850596">
        <w:rPr>
          <w:rFonts w:eastAsiaTheme="minorHAnsi" w:cstheme="minorBidi"/>
        </w:rPr>
        <w:br w:type="page"/>
      </w:r>
    </w:p>
    <w:p w14:paraId="145E9C79" w14:textId="1F781F0E" w:rsidR="00956CD5" w:rsidRPr="005304C2" w:rsidRDefault="00956CD5" w:rsidP="0015555C">
      <w:pPr>
        <w:suppressAutoHyphens/>
        <w:spacing w:before="480" w:line="271" w:lineRule="auto"/>
        <w:rPr>
          <w:sz w:val="32"/>
          <w:szCs w:val="32"/>
        </w:rPr>
      </w:pPr>
      <w:r w:rsidRPr="005304C2">
        <w:rPr>
          <w:sz w:val="32"/>
          <w:szCs w:val="32"/>
        </w:rPr>
        <w:lastRenderedPageBreak/>
        <w:t>[Insert Project Name] – [Insert Applicant]</w:t>
      </w:r>
    </w:p>
    <w:p w14:paraId="67E1EEE3" w14:textId="6F07052A" w:rsidR="009532CC" w:rsidRPr="0092029D" w:rsidRDefault="009532CC" w:rsidP="0092029D">
      <w:pPr>
        <w:spacing w:before="240"/>
        <w:rPr>
          <w:b/>
          <w:bCs/>
        </w:rPr>
      </w:pPr>
      <w:r w:rsidRPr="0092029D">
        <w:rPr>
          <w:b/>
          <w:bCs/>
        </w:rPr>
        <w:t xml:space="preserve">Table </w:t>
      </w:r>
      <w:r w:rsidR="00226BAD" w:rsidRPr="0092029D">
        <w:rPr>
          <w:b/>
          <w:bCs/>
        </w:rPr>
        <w:t>1</w:t>
      </w:r>
      <w:r w:rsidRPr="0092029D">
        <w:rPr>
          <w:b/>
          <w:bCs/>
        </w:rPr>
        <w:t>: Risk identification and mitigation strategy</w:t>
      </w:r>
    </w:p>
    <w:tbl>
      <w:tblPr>
        <w:tblStyle w:val="TableGrid"/>
        <w:tblW w:w="4936" w:type="pct"/>
        <w:tblInd w:w="-5" w:type="dxa"/>
        <w:tblBorders>
          <w:top w:val="single" w:sz="4" w:space="0" w:color="263746"/>
          <w:left w:val="single" w:sz="4" w:space="0" w:color="263746"/>
          <w:bottom w:val="single" w:sz="4" w:space="0" w:color="263746"/>
          <w:right w:val="single" w:sz="4" w:space="0" w:color="263746"/>
          <w:insideH w:val="single" w:sz="4" w:space="0" w:color="263746"/>
          <w:insideV w:val="single" w:sz="4" w:space="0" w:color="26374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043"/>
        <w:gridCol w:w="2786"/>
        <w:gridCol w:w="1133"/>
      </w:tblGrid>
      <w:tr w:rsidR="00BE7A00" w:rsidRPr="00BE7A00" w14:paraId="731AC669" w14:textId="77777777" w:rsidTr="00D4190B">
        <w:trPr>
          <w:tblHeader/>
        </w:trPr>
        <w:tc>
          <w:tcPr>
            <w:tcW w:w="1549" w:type="pct"/>
            <w:shd w:val="clear" w:color="auto" w:fill="263746" w:themeFill="text2"/>
            <w:vAlign w:val="center"/>
          </w:tcPr>
          <w:p w14:paraId="2AA21B07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Risk</w:t>
            </w:r>
          </w:p>
        </w:tc>
        <w:tc>
          <w:tcPr>
            <w:tcW w:w="493" w:type="pct"/>
            <w:shd w:val="clear" w:color="auto" w:fill="263746" w:themeFill="text2"/>
            <w:vAlign w:val="center"/>
          </w:tcPr>
          <w:p w14:paraId="27F3A98C" w14:textId="77777777" w:rsidR="00BE7A00" w:rsidRPr="00BE7A00" w:rsidRDefault="00BE7A00" w:rsidP="00BE7A00">
            <w:pPr>
              <w:spacing w:before="60" w:after="60" w:line="278" w:lineRule="auto"/>
              <w:jc w:val="center"/>
              <w:rPr>
                <w:rFonts w:eastAsia="Aptos"/>
                <w:b/>
                <w:bCs/>
                <w:color w:val="FFFFFF"/>
                <w:kern w:val="2"/>
                <w14:ligatures w14:val="standardContextual"/>
              </w:rPr>
            </w:pPr>
            <w:r w:rsidRPr="00BE7A00">
              <w:rPr>
                <w:b/>
                <w:bCs/>
                <w:color w:val="FFFFFF"/>
              </w:rPr>
              <w:t xml:space="preserve">Risk </w:t>
            </w:r>
            <w:proofErr w:type="spellStart"/>
            <w:r w:rsidRPr="00BE7A00">
              <w:rPr>
                <w:b/>
                <w:bCs/>
                <w:color w:val="FFFFFF"/>
              </w:rPr>
              <w:t>Likeli</w:t>
            </w:r>
            <w:proofErr w:type="spellEnd"/>
            <w:r w:rsidRPr="00BE7A00">
              <w:rPr>
                <w:rFonts w:eastAsia="Aptos"/>
                <w:b/>
                <w:bCs/>
                <w:color w:val="FFFFFF"/>
                <w:kern w:val="2"/>
                <w14:ligatures w14:val="standardContextual"/>
              </w:rPr>
              <w:t>-</w:t>
            </w:r>
          </w:p>
          <w:p w14:paraId="49BC16B5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hood</w:t>
            </w:r>
          </w:p>
        </w:tc>
        <w:tc>
          <w:tcPr>
            <w:tcW w:w="493" w:type="pct"/>
            <w:shd w:val="clear" w:color="auto" w:fill="263746" w:themeFill="text2"/>
            <w:vAlign w:val="center"/>
          </w:tcPr>
          <w:p w14:paraId="4FBFF618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Risk Conse-</w:t>
            </w:r>
            <w:proofErr w:type="spellStart"/>
            <w:r w:rsidRPr="00BE7A00">
              <w:rPr>
                <w:b/>
                <w:bCs/>
                <w:color w:val="FFFFFF"/>
              </w:rPr>
              <w:t>quence</w:t>
            </w:r>
            <w:proofErr w:type="spellEnd"/>
          </w:p>
        </w:tc>
        <w:tc>
          <w:tcPr>
            <w:tcW w:w="518" w:type="pct"/>
            <w:shd w:val="clear" w:color="auto" w:fill="263746" w:themeFill="text2"/>
            <w:vAlign w:val="center"/>
          </w:tcPr>
          <w:p w14:paraId="1250D67B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Risk Rating</w:t>
            </w:r>
          </w:p>
        </w:tc>
        <w:tc>
          <w:tcPr>
            <w:tcW w:w="1384" w:type="pct"/>
            <w:shd w:val="clear" w:color="auto" w:fill="263746" w:themeFill="text2"/>
            <w:vAlign w:val="center"/>
          </w:tcPr>
          <w:p w14:paraId="4240E568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Mitigation strategy</w:t>
            </w:r>
          </w:p>
        </w:tc>
        <w:tc>
          <w:tcPr>
            <w:tcW w:w="563" w:type="pct"/>
            <w:shd w:val="clear" w:color="auto" w:fill="263746" w:themeFill="text2"/>
            <w:vAlign w:val="center"/>
          </w:tcPr>
          <w:p w14:paraId="4EAD8D83" w14:textId="77777777" w:rsidR="00BE7A00" w:rsidRPr="00BE7A00" w:rsidRDefault="00BE7A00" w:rsidP="00BE7A00">
            <w:pPr>
              <w:spacing w:before="60" w:after="60"/>
              <w:jc w:val="center"/>
              <w:rPr>
                <w:b/>
                <w:bCs/>
                <w:color w:val="FFFFFF"/>
              </w:rPr>
            </w:pPr>
            <w:r w:rsidRPr="00BE7A00">
              <w:rPr>
                <w:b/>
                <w:bCs/>
                <w:color w:val="FFFFFF"/>
              </w:rPr>
              <w:t>Adjusted Risk Rating</w:t>
            </w:r>
          </w:p>
        </w:tc>
      </w:tr>
      <w:tr w:rsidR="00BD7ADD" w:rsidRPr="00BE7A00" w14:paraId="7664A62F" w14:textId="77777777" w:rsidTr="00BD7ADD">
        <w:tc>
          <w:tcPr>
            <w:tcW w:w="1549" w:type="pct"/>
            <w:shd w:val="clear" w:color="auto" w:fill="CAD7E2" w:themeFill="text1" w:themeFillTint="33"/>
          </w:tcPr>
          <w:p w14:paraId="653A9298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bookmarkStart w:id="0" w:name="_Hlk193978389"/>
            <w:r w:rsidRPr="00BE7A00">
              <w:rPr>
                <w:i/>
                <w:iCs/>
                <w:color w:val="131B22"/>
              </w:rPr>
              <w:t>Example – Costs exceed the Applicant's funding capacity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1316B327" w14:textId="77777777" w:rsidR="00BE7A00" w:rsidRPr="00BE7A00" w:rsidRDefault="00BE7A00" w:rsidP="00D728FC">
            <w:pPr>
              <w:spacing w:before="60" w:after="60"/>
              <w:rPr>
                <w:color w:val="131B22"/>
              </w:rPr>
            </w:pPr>
            <w:r w:rsidRPr="00BE7A00">
              <w:rPr>
                <w:color w:val="auto"/>
              </w:rPr>
              <w:t>Likely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68E3A227" w14:textId="77777777" w:rsidR="00BE7A00" w:rsidRPr="00BE7A00" w:rsidRDefault="00BE7A00" w:rsidP="00D728FC">
            <w:pPr>
              <w:spacing w:before="60" w:after="60"/>
              <w:rPr>
                <w:color w:val="131B22"/>
              </w:rPr>
            </w:pPr>
            <w:r w:rsidRPr="00BE7A00">
              <w:rPr>
                <w:color w:val="131B22"/>
              </w:rPr>
              <w:t>Minor</w:t>
            </w:r>
          </w:p>
        </w:tc>
        <w:tc>
          <w:tcPr>
            <w:tcW w:w="518" w:type="pct"/>
            <w:shd w:val="clear" w:color="auto" w:fill="FFFF66"/>
            <w:vAlign w:val="center"/>
          </w:tcPr>
          <w:p w14:paraId="7FD09AD7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10</w:t>
            </w:r>
          </w:p>
          <w:p w14:paraId="00D120CC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Medium</w:t>
            </w:r>
          </w:p>
        </w:tc>
        <w:tc>
          <w:tcPr>
            <w:tcW w:w="1384" w:type="pct"/>
            <w:shd w:val="clear" w:color="auto" w:fill="CAD7E2" w:themeFill="text1" w:themeFillTint="33"/>
          </w:tcPr>
          <w:p w14:paraId="71E3DACB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Contracts will include clauses regarding cost escalation and associated penalties</w:t>
            </w:r>
          </w:p>
          <w:p w14:paraId="4D4D8FCA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Contingency included in the budget to accommodate minor deviations in construction costs</w:t>
            </w:r>
          </w:p>
        </w:tc>
        <w:tc>
          <w:tcPr>
            <w:tcW w:w="563" w:type="pct"/>
            <w:shd w:val="clear" w:color="auto" w:fill="92D050"/>
            <w:vAlign w:val="center"/>
          </w:tcPr>
          <w:p w14:paraId="339208EF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3</w:t>
            </w:r>
          </w:p>
          <w:p w14:paraId="046D766B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Low</w:t>
            </w:r>
          </w:p>
        </w:tc>
      </w:tr>
      <w:bookmarkEnd w:id="0"/>
      <w:tr w:rsidR="00BD7ADD" w:rsidRPr="00BE7A00" w14:paraId="5FF2034F" w14:textId="77777777" w:rsidTr="00BD7ADD">
        <w:tc>
          <w:tcPr>
            <w:tcW w:w="1549" w:type="pct"/>
            <w:shd w:val="clear" w:color="auto" w:fill="CAD7E2" w:themeFill="text1" w:themeFillTint="33"/>
          </w:tcPr>
          <w:p w14:paraId="0E484593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Example – Capability to deliver within Project timeframes / construction delays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05A1CC7B" w14:textId="77777777" w:rsidR="00BE7A00" w:rsidRPr="00BE7A00" w:rsidRDefault="00BE7A00" w:rsidP="00D728FC">
            <w:pPr>
              <w:spacing w:before="60" w:after="60"/>
              <w:rPr>
                <w:color w:val="131B22"/>
              </w:rPr>
            </w:pPr>
            <w:r w:rsidRPr="00BE7A00">
              <w:rPr>
                <w:color w:val="131B22"/>
              </w:rPr>
              <w:t>Possible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2B2E4761" w14:textId="77777777" w:rsidR="00BE7A00" w:rsidRPr="00BE7A00" w:rsidRDefault="00BE7A00" w:rsidP="00D728FC">
            <w:pPr>
              <w:spacing w:before="60" w:after="60"/>
              <w:rPr>
                <w:color w:val="131B22"/>
              </w:rPr>
            </w:pPr>
            <w:r w:rsidRPr="00BE7A00">
              <w:rPr>
                <w:color w:val="131B22"/>
              </w:rPr>
              <w:t>Possible</w:t>
            </w:r>
          </w:p>
        </w:tc>
        <w:tc>
          <w:tcPr>
            <w:tcW w:w="518" w:type="pct"/>
            <w:shd w:val="clear" w:color="auto" w:fill="FFFF66"/>
            <w:vAlign w:val="center"/>
          </w:tcPr>
          <w:p w14:paraId="29750CA9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13</w:t>
            </w:r>
          </w:p>
          <w:p w14:paraId="0A73809F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Medium</w:t>
            </w:r>
          </w:p>
        </w:tc>
        <w:tc>
          <w:tcPr>
            <w:tcW w:w="1384" w:type="pct"/>
            <w:shd w:val="clear" w:color="auto" w:fill="CAD7E2" w:themeFill="text1" w:themeFillTint="33"/>
          </w:tcPr>
          <w:p w14:paraId="0C1A0358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Contract will include Project timeframes</w:t>
            </w:r>
          </w:p>
          <w:p w14:paraId="5CFF078E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Penalty rates will apply if the contractor fails to meet obligated timeframes</w:t>
            </w:r>
          </w:p>
        </w:tc>
        <w:tc>
          <w:tcPr>
            <w:tcW w:w="563" w:type="pct"/>
            <w:shd w:val="clear" w:color="auto" w:fill="92D050"/>
            <w:vAlign w:val="center"/>
          </w:tcPr>
          <w:p w14:paraId="3ED1C274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5</w:t>
            </w:r>
          </w:p>
          <w:p w14:paraId="101DBD40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E7A00">
              <w:rPr>
                <w:i/>
                <w:iCs/>
                <w:color w:val="131B22"/>
              </w:rPr>
              <w:t>Low</w:t>
            </w:r>
          </w:p>
        </w:tc>
      </w:tr>
      <w:tr w:rsidR="00BD7ADD" w:rsidRPr="00BE7A00" w14:paraId="07AB4988" w14:textId="77777777" w:rsidTr="00BD7ADD">
        <w:tc>
          <w:tcPr>
            <w:tcW w:w="1549" w:type="pct"/>
            <w:shd w:val="clear" w:color="auto" w:fill="CAD7E2" w:themeFill="text1" w:themeFillTint="33"/>
          </w:tcPr>
          <w:p w14:paraId="6275DD57" w14:textId="77777777" w:rsidR="00BE7A00" w:rsidRPr="00B26052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Example - Approval timeframes for works within a restricted area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5EB9452B" w14:textId="77777777" w:rsidR="00BE7A00" w:rsidRPr="00B26052" w:rsidRDefault="00BE7A00" w:rsidP="00D728FC">
            <w:pPr>
              <w:spacing w:before="60" w:after="60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Likely</w:t>
            </w:r>
          </w:p>
        </w:tc>
        <w:tc>
          <w:tcPr>
            <w:tcW w:w="493" w:type="pct"/>
            <w:shd w:val="clear" w:color="auto" w:fill="CAD7E2" w:themeFill="text1" w:themeFillTint="33"/>
          </w:tcPr>
          <w:p w14:paraId="049F786A" w14:textId="77777777" w:rsidR="00BE7A00" w:rsidRPr="00B26052" w:rsidRDefault="00BE7A00" w:rsidP="00D728FC">
            <w:pPr>
              <w:spacing w:before="60" w:after="60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Severe</w:t>
            </w:r>
          </w:p>
        </w:tc>
        <w:tc>
          <w:tcPr>
            <w:tcW w:w="518" w:type="pct"/>
            <w:shd w:val="clear" w:color="auto" w:fill="FF0000"/>
            <w:vAlign w:val="center"/>
          </w:tcPr>
          <w:p w14:paraId="74DB1C4C" w14:textId="77777777" w:rsidR="00BE7A00" w:rsidRPr="00B26052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24</w:t>
            </w:r>
          </w:p>
          <w:p w14:paraId="14D98CBE" w14:textId="77777777" w:rsidR="00BE7A00" w:rsidRPr="00B26052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Extreme</w:t>
            </w:r>
          </w:p>
        </w:tc>
        <w:tc>
          <w:tcPr>
            <w:tcW w:w="1384" w:type="pct"/>
            <w:shd w:val="clear" w:color="auto" w:fill="CAD7E2" w:themeFill="text1" w:themeFillTint="33"/>
          </w:tcPr>
          <w:p w14:paraId="78F915AF" w14:textId="77777777" w:rsidR="00BE7A00" w:rsidRPr="00B26052" w:rsidRDefault="00BE7A00" w:rsidP="00BE7A00">
            <w:pPr>
              <w:spacing w:before="60" w:after="60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Ensure liaison with relevant regulatory authority early and throughout the Project</w:t>
            </w:r>
          </w:p>
        </w:tc>
        <w:tc>
          <w:tcPr>
            <w:tcW w:w="563" w:type="pct"/>
            <w:shd w:val="clear" w:color="auto" w:fill="FFFF66"/>
            <w:vAlign w:val="center"/>
          </w:tcPr>
          <w:p w14:paraId="06C1D16A" w14:textId="77777777" w:rsidR="00BE7A00" w:rsidRPr="00B26052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13</w:t>
            </w:r>
          </w:p>
          <w:p w14:paraId="548B8648" w14:textId="77777777" w:rsidR="00BE7A00" w:rsidRPr="00B26052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</w:rPr>
            </w:pPr>
            <w:r w:rsidRPr="00B26052">
              <w:rPr>
                <w:i/>
                <w:iCs/>
                <w:color w:val="131B22"/>
              </w:rPr>
              <w:t>Medium</w:t>
            </w:r>
          </w:p>
        </w:tc>
      </w:tr>
      <w:tr w:rsidR="00D728FC" w:rsidRPr="00BE7A00" w14:paraId="0DE04404" w14:textId="77777777" w:rsidTr="00850596">
        <w:tc>
          <w:tcPr>
            <w:tcW w:w="1549" w:type="pct"/>
          </w:tcPr>
          <w:p w14:paraId="5130A3EC" w14:textId="77777777" w:rsidR="00BE7A00" w:rsidRPr="00BE7A00" w:rsidRDefault="00BE7A00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520D7371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6912A6AA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0B90C830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4C5C99A7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177F68B2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D728FC" w:rsidRPr="00BE7A00" w14:paraId="191EB320" w14:textId="77777777" w:rsidTr="00850596">
        <w:tc>
          <w:tcPr>
            <w:tcW w:w="1549" w:type="pct"/>
          </w:tcPr>
          <w:p w14:paraId="6F9E0EA3" w14:textId="77777777" w:rsidR="00BE7A00" w:rsidRPr="00BE7A00" w:rsidRDefault="00BE7A00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1DA48478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4B7AAFCF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3CB7653A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62B3316B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0F7BBD6D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D728FC" w:rsidRPr="00BE7A00" w14:paraId="18627B1D" w14:textId="77777777" w:rsidTr="00850596">
        <w:tc>
          <w:tcPr>
            <w:tcW w:w="1549" w:type="pct"/>
          </w:tcPr>
          <w:p w14:paraId="49CA92C3" w14:textId="77777777" w:rsidR="00BE7A00" w:rsidRPr="00BE7A00" w:rsidRDefault="00BE7A00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7B6D2F42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26BAF0D0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6CB51C86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7B142D06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50103232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D728FC" w:rsidRPr="00BE7A00" w14:paraId="7001018F" w14:textId="77777777" w:rsidTr="00850596">
        <w:tc>
          <w:tcPr>
            <w:tcW w:w="1549" w:type="pct"/>
          </w:tcPr>
          <w:p w14:paraId="1519BDF0" w14:textId="77777777" w:rsidR="00BE7A00" w:rsidRPr="00BE7A00" w:rsidRDefault="00BE7A00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17984EB9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4910BAF7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21E17292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60F50089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32227C22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BE7A00" w:rsidRPr="00BE7A00" w14:paraId="61C123B6" w14:textId="77777777" w:rsidTr="00850596">
        <w:tc>
          <w:tcPr>
            <w:tcW w:w="1549" w:type="pct"/>
          </w:tcPr>
          <w:p w14:paraId="39900B94" w14:textId="77777777" w:rsidR="00BE7A00" w:rsidRPr="00BE7A00" w:rsidRDefault="00BE7A00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6619033B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689DDFCC" w14:textId="77777777" w:rsidR="00BE7A00" w:rsidRPr="00BE7A00" w:rsidRDefault="00BE7A00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0B9F8E7F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032A5B82" w14:textId="77777777" w:rsidR="00BE7A00" w:rsidRPr="00BE7A00" w:rsidRDefault="00BE7A00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0B0534A4" w14:textId="77777777" w:rsidR="00BE7A00" w:rsidRPr="00BE7A00" w:rsidRDefault="00BE7A00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850596" w:rsidRPr="00BE7A00" w14:paraId="4C157291" w14:textId="77777777" w:rsidTr="00850596">
        <w:tc>
          <w:tcPr>
            <w:tcW w:w="1549" w:type="pct"/>
          </w:tcPr>
          <w:p w14:paraId="2C9DCFC0" w14:textId="77777777" w:rsidR="00850596" w:rsidRPr="00BE7A00" w:rsidRDefault="00850596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3D37BC69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1E43E2CF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2D60F0CC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7B029487" w14:textId="77777777" w:rsidR="00850596" w:rsidRPr="00BE7A00" w:rsidRDefault="00850596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2D08F7C1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850596" w:rsidRPr="00BE7A00" w14:paraId="5FCF9539" w14:textId="77777777" w:rsidTr="00850596">
        <w:tc>
          <w:tcPr>
            <w:tcW w:w="1549" w:type="pct"/>
          </w:tcPr>
          <w:p w14:paraId="553FBD14" w14:textId="77777777" w:rsidR="00850596" w:rsidRPr="00BE7A00" w:rsidRDefault="00850596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09459D28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4EAAC8CB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08E5F59B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790BF753" w14:textId="77777777" w:rsidR="00850596" w:rsidRPr="00BE7A00" w:rsidRDefault="00850596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5B1C17F2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850596" w:rsidRPr="00BE7A00" w14:paraId="70FD5317" w14:textId="77777777" w:rsidTr="00850596">
        <w:tc>
          <w:tcPr>
            <w:tcW w:w="1549" w:type="pct"/>
          </w:tcPr>
          <w:p w14:paraId="399CA4A4" w14:textId="77777777" w:rsidR="00850596" w:rsidRPr="00BE7A00" w:rsidRDefault="00850596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496507DC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43EB6C6C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39AB3B7C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7915CC20" w14:textId="77777777" w:rsidR="00850596" w:rsidRPr="00BE7A00" w:rsidRDefault="00850596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5444DDC9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850596" w:rsidRPr="00BE7A00" w14:paraId="4E6555A9" w14:textId="77777777" w:rsidTr="00850596">
        <w:tc>
          <w:tcPr>
            <w:tcW w:w="1549" w:type="pct"/>
          </w:tcPr>
          <w:p w14:paraId="416988D9" w14:textId="77777777" w:rsidR="00850596" w:rsidRPr="00BE7A00" w:rsidRDefault="00850596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08B3D177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75777388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0298162E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1F979A3C" w14:textId="77777777" w:rsidR="00850596" w:rsidRPr="00BE7A00" w:rsidRDefault="00850596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1604BA22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  <w:tr w:rsidR="00850596" w:rsidRPr="00BE7A00" w14:paraId="035E338F" w14:textId="77777777" w:rsidTr="00850596">
        <w:tc>
          <w:tcPr>
            <w:tcW w:w="1549" w:type="pct"/>
          </w:tcPr>
          <w:p w14:paraId="6DD8FB24" w14:textId="77777777" w:rsidR="00850596" w:rsidRPr="00BE7A00" w:rsidRDefault="00850596" w:rsidP="00BE7A00">
            <w:pPr>
              <w:spacing w:before="60" w:after="60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</w:tcPr>
          <w:p w14:paraId="38278572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5F373982" w14:textId="77777777" w:rsidR="00850596" w:rsidRPr="00BE7A00" w:rsidRDefault="00850596" w:rsidP="00BE7A00">
            <w:pPr>
              <w:spacing w:before="60" w:after="60"/>
              <w:jc w:val="center"/>
              <w:rPr>
                <w:color w:val="131B22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64A61AEC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1384" w:type="pct"/>
            <w:shd w:val="clear" w:color="auto" w:fill="FFFFFF"/>
          </w:tcPr>
          <w:p w14:paraId="5363C2C0" w14:textId="77777777" w:rsidR="00850596" w:rsidRPr="00BE7A00" w:rsidRDefault="00850596" w:rsidP="00BE7A00">
            <w:pPr>
              <w:spacing w:before="60" w:after="60"/>
              <w:rPr>
                <w:i/>
                <w:iCs/>
                <w:color w:val="131B22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3533129F" w14:textId="77777777" w:rsidR="00850596" w:rsidRPr="00BE7A00" w:rsidRDefault="00850596" w:rsidP="00BE7A00">
            <w:pPr>
              <w:spacing w:before="60" w:after="60"/>
              <w:jc w:val="center"/>
              <w:rPr>
                <w:i/>
                <w:iCs/>
                <w:color w:val="131B22"/>
                <w:sz w:val="22"/>
                <w:szCs w:val="22"/>
              </w:rPr>
            </w:pPr>
          </w:p>
        </w:tc>
      </w:tr>
    </w:tbl>
    <w:p w14:paraId="40912AA2" w14:textId="5F86C24E" w:rsidR="00226BAD" w:rsidRPr="0092029D" w:rsidRDefault="00226BAD" w:rsidP="0092029D">
      <w:pPr>
        <w:spacing w:before="240"/>
        <w:rPr>
          <w:b/>
          <w:bCs/>
        </w:rPr>
      </w:pPr>
      <w:r w:rsidRPr="0092029D">
        <w:rPr>
          <w:b/>
          <w:bCs/>
        </w:rPr>
        <w:t>&lt;</w:t>
      </w:r>
      <w:r w:rsidRPr="0092029D">
        <w:rPr>
          <w:b/>
          <w:bCs/>
          <w:i/>
          <w:iCs/>
        </w:rPr>
        <w:t>include additional details here</w:t>
      </w:r>
      <w:r w:rsidRPr="0092029D">
        <w:rPr>
          <w:b/>
          <w:bCs/>
        </w:rPr>
        <w:t>&gt;</w:t>
      </w:r>
    </w:p>
    <w:p w14:paraId="686C9546" w14:textId="4EF9B3E4" w:rsidR="00226BAD" w:rsidRPr="0092029D" w:rsidRDefault="00226BAD" w:rsidP="00226BAD">
      <w:pPr>
        <w:suppressAutoHyphens/>
        <w:spacing w:before="240" w:line="271" w:lineRule="auto"/>
        <w:rPr>
          <w:rFonts w:eastAsiaTheme="minorHAnsi" w:cstheme="minorBidi"/>
          <w:b/>
          <w:bCs/>
        </w:rPr>
      </w:pPr>
      <w:r w:rsidRPr="0092029D">
        <w:rPr>
          <w:rFonts w:eastAsiaTheme="minorHAnsi" w:cstheme="minorBidi"/>
          <w:b/>
          <w:bCs/>
        </w:rPr>
        <w:t>Table 2: Risk likelihood and consequence matrix</w:t>
      </w:r>
    </w:p>
    <w:tbl>
      <w:tblPr>
        <w:tblW w:w="105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77"/>
        <w:gridCol w:w="1559"/>
        <w:gridCol w:w="56"/>
        <w:gridCol w:w="1616"/>
        <w:gridCol w:w="29"/>
        <w:gridCol w:w="1559"/>
        <w:gridCol w:w="28"/>
        <w:gridCol w:w="1531"/>
        <w:gridCol w:w="85"/>
        <w:gridCol w:w="1616"/>
      </w:tblGrid>
      <w:tr w:rsidR="00226BAD" w:rsidRPr="00D75BA6" w14:paraId="557E9D78" w14:textId="77777777" w:rsidTr="009628CF">
        <w:trPr>
          <w:cantSplit/>
          <w:trHeight w:val="296"/>
          <w:tblHeader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4D993003" w14:textId="77777777" w:rsidR="00226BAD" w:rsidRPr="00D75BA6" w:rsidRDefault="00226BAD" w:rsidP="009628CF">
            <w:pPr>
              <w:keepNext/>
              <w:keepLines/>
              <w:spacing w:before="60" w:after="60"/>
              <w:ind w:left="113" w:right="113"/>
              <w:jc w:val="center"/>
              <w:rPr>
                <w:rFonts w:cs="Arial"/>
                <w:b/>
                <w:i/>
                <w:sz w:val="23"/>
                <w:szCs w:val="23"/>
              </w:rPr>
            </w:pPr>
            <w:r w:rsidRPr="00D75BA6">
              <w:rPr>
                <w:rFonts w:cs="Arial"/>
                <w:b/>
                <w:i/>
                <w:sz w:val="23"/>
                <w:szCs w:val="23"/>
              </w:rPr>
              <w:t>Likelihood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14:paraId="08D3C88C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Almost certain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C15416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8 – Medium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C3B6CA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11 – Medium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4D486BAD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17 – High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E57B545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23 – Extreme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35D207B6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25 – Extreme</w:t>
            </w:r>
          </w:p>
        </w:tc>
      </w:tr>
      <w:tr w:rsidR="00226BAD" w:rsidRPr="00D75BA6" w14:paraId="543A6F9E" w14:textId="77777777" w:rsidTr="009628CF">
        <w:trPr>
          <w:cantSplit/>
          <w:trHeight w:val="272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BE1F4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14:paraId="46C833EB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Likely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7C95F7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7 – Medium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B91E52C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10 – Medium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7711848D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16 – High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7616FE92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19 – High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6B310FDD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24 – Extreme</w:t>
            </w:r>
          </w:p>
        </w:tc>
      </w:tr>
      <w:tr w:rsidR="00226BAD" w:rsidRPr="00D75BA6" w14:paraId="56C183B6" w14:textId="77777777" w:rsidTr="009628CF">
        <w:trPr>
          <w:cantSplit/>
          <w:trHeight w:val="277"/>
          <w:tblHeader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8F49C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14:paraId="7E2CFA4E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Possible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8B8949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3 – Low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A1E6E3D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9 – Medium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780742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13 – Medium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3BB3470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18 – High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0FD76EC7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22 – High</w:t>
            </w:r>
          </w:p>
        </w:tc>
      </w:tr>
      <w:tr w:rsidR="00226BAD" w:rsidRPr="00D75BA6" w14:paraId="371BF9E4" w14:textId="77777777" w:rsidTr="009628CF">
        <w:trPr>
          <w:cantSplit/>
          <w:trHeight w:val="266"/>
          <w:tblHeader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6B887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14:paraId="264203F6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Unlikely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9EC3F1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 – Low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CFCAA4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5 – Low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49DEA77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12 – Medium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938BEDC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15 – Medium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30FEB96B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21 – High</w:t>
            </w:r>
          </w:p>
        </w:tc>
      </w:tr>
      <w:tr w:rsidR="00226BAD" w:rsidRPr="00D75BA6" w14:paraId="328FFA5A" w14:textId="77777777" w:rsidTr="009628CF">
        <w:trPr>
          <w:cantSplit/>
          <w:trHeight w:val="270"/>
          <w:tblHeader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E6643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14:paraId="25B5E84A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Rare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9D3174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 – Low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7F0F6C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4 – Low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7F8BBC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6 – Low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0207B8B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14 – Medium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593071F0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75BA6">
              <w:rPr>
                <w:rFonts w:cs="Arial"/>
                <w:b/>
                <w:sz w:val="16"/>
                <w:szCs w:val="16"/>
              </w:rPr>
              <w:t>20 – High</w:t>
            </w:r>
          </w:p>
        </w:tc>
      </w:tr>
      <w:tr w:rsidR="00226BAD" w:rsidRPr="00D75BA6" w14:paraId="12085881" w14:textId="77777777" w:rsidTr="00223309">
        <w:trPr>
          <w:cantSplit/>
          <w:tblHeader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8841354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shd w:val="clear" w:color="auto" w:fill="auto"/>
          </w:tcPr>
          <w:p w14:paraId="5DE6660A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AE57661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Negligible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FB64E4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A5A7031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Moderate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F0143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Major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302BAD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75BA6">
              <w:rPr>
                <w:rFonts w:cs="Arial"/>
                <w:b/>
                <w:i/>
                <w:sz w:val="18"/>
                <w:szCs w:val="18"/>
              </w:rPr>
              <w:t>Severe</w:t>
            </w:r>
          </w:p>
        </w:tc>
      </w:tr>
      <w:tr w:rsidR="00226BAD" w:rsidRPr="00D75BA6" w14:paraId="39851271" w14:textId="77777777" w:rsidTr="00223309">
        <w:trPr>
          <w:cantSplit/>
          <w:trHeight w:val="438"/>
          <w:tblHeader/>
        </w:trPr>
        <w:tc>
          <w:tcPr>
            <w:tcW w:w="568" w:type="dxa"/>
            <w:shd w:val="clear" w:color="auto" w:fill="auto"/>
          </w:tcPr>
          <w:p w14:paraId="6537F95E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1877" w:type="dxa"/>
            <w:shd w:val="clear" w:color="auto" w:fill="auto"/>
          </w:tcPr>
          <w:p w14:paraId="2F66874E" w14:textId="77777777" w:rsidR="00226BAD" w:rsidRPr="00D75BA6" w:rsidRDefault="00226BAD" w:rsidP="009628CF">
            <w:pPr>
              <w:keepNext/>
              <w:keepLines/>
              <w:spacing w:before="60" w:after="60"/>
              <w:rPr>
                <w:rFonts w:cs="Arial"/>
                <w:i/>
                <w:sz w:val="23"/>
                <w:szCs w:val="23"/>
              </w:rPr>
            </w:pP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14:paraId="0B61945B" w14:textId="77777777" w:rsidR="00226BAD" w:rsidRPr="00D75BA6" w:rsidRDefault="00226BAD" w:rsidP="009628CF">
            <w:pPr>
              <w:keepNext/>
              <w:keepLines/>
              <w:spacing w:before="60" w:after="60"/>
              <w:jc w:val="center"/>
              <w:rPr>
                <w:rFonts w:cs="Arial"/>
                <w:b/>
                <w:i/>
              </w:rPr>
            </w:pPr>
            <w:r w:rsidRPr="00D75BA6">
              <w:rPr>
                <w:rFonts w:cs="Arial"/>
                <w:b/>
                <w:i/>
              </w:rPr>
              <w:t>Consequence</w:t>
            </w:r>
          </w:p>
        </w:tc>
      </w:tr>
    </w:tbl>
    <w:p w14:paraId="24F1A06E" w14:textId="77777777" w:rsidR="00663DCF" w:rsidRPr="00850596" w:rsidRDefault="00663DCF" w:rsidP="00CD6B49"/>
    <w:sectPr w:rsidR="00663DCF" w:rsidRPr="00850596" w:rsidSect="00956CD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851" w:bottom="121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3ABC" w14:textId="77777777" w:rsidR="00C06B37" w:rsidRDefault="00C06B37" w:rsidP="00BD277D">
      <w:r>
        <w:separator/>
      </w:r>
    </w:p>
  </w:endnote>
  <w:endnote w:type="continuationSeparator" w:id="0">
    <w:p w14:paraId="11E02BC5" w14:textId="77777777" w:rsidR="00C06B37" w:rsidRDefault="00C06B37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158F" w14:textId="6F67EFE9" w:rsidR="007663EA" w:rsidRPr="00C56396" w:rsidRDefault="00956CD5" w:rsidP="00956CD5">
    <w:pPr>
      <w:spacing w:before="200"/>
    </w:pPr>
    <w:r w:rsidRPr="00956CD5">
      <w:rPr>
        <w:noProof/>
        <w:highlight w:val="yellow"/>
      </w:rPr>
      <w:drawing>
        <wp:anchor distT="0" distB="0" distL="114300" distR="114300" simplePos="0" relativeHeight="251671552" behindDoc="1" locked="0" layoutInCell="1" allowOverlap="1" wp14:anchorId="493DA152" wp14:editId="2B9776B3">
          <wp:simplePos x="0" y="0"/>
          <wp:positionH relativeFrom="page">
            <wp:posOffset>0</wp:posOffset>
          </wp:positionH>
          <wp:positionV relativeFrom="paragraph">
            <wp:posOffset>-247438</wp:posOffset>
          </wp:positionV>
          <wp:extent cx="7562215" cy="1080135"/>
          <wp:effectExtent l="0" t="0" r="0" b="5715"/>
          <wp:wrapNone/>
          <wp:docPr id="39612596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96" w:rsidRPr="00C56396">
      <w:fldChar w:fldCharType="begin"/>
    </w:r>
    <w:r w:rsidR="00C56396" w:rsidRPr="00C56396">
      <w:instrText xml:space="preserve"> PAGE   \* MERGEFORMAT </w:instrText>
    </w:r>
    <w:r w:rsidR="00C56396" w:rsidRPr="00C56396">
      <w:fldChar w:fldCharType="separate"/>
    </w:r>
    <w:r w:rsidR="00C56396" w:rsidRPr="00C56396">
      <w:t>1</w:t>
    </w:r>
    <w:r w:rsidR="00C56396" w:rsidRPr="00C56396">
      <w:fldChar w:fldCharType="end"/>
    </w:r>
    <w:r w:rsidR="00C56396" w:rsidRPr="00C56396">
      <w:t xml:space="preserve"> | </w:t>
    </w:r>
    <w:r w:rsidRPr="00956CD5">
      <w:t>Risk identification and mitigation</w:t>
    </w:r>
    <w:r w:rsidRPr="00956CD5">
      <w:rPr>
        <w:highlight w:val="yello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6A20" w14:textId="293C26A6" w:rsidR="00C56396" w:rsidRDefault="00C56396" w:rsidP="00C56396">
    <w:r>
      <w:rPr>
        <w:noProof/>
      </w:rPr>
      <w:drawing>
        <wp:anchor distT="0" distB="0" distL="114300" distR="114300" simplePos="0" relativeHeight="251670528" behindDoc="1" locked="0" layoutInCell="1" allowOverlap="1" wp14:anchorId="4D4642D8" wp14:editId="1B7F2C64">
          <wp:simplePos x="0" y="0"/>
          <wp:positionH relativeFrom="page">
            <wp:posOffset>0</wp:posOffset>
          </wp:positionH>
          <wp:positionV relativeFrom="paragraph">
            <wp:posOffset>-409130</wp:posOffset>
          </wp:positionV>
          <wp:extent cx="7564120" cy="1080770"/>
          <wp:effectExtent l="0" t="0" r="0" b="5080"/>
          <wp:wrapNone/>
          <wp:docPr id="268053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396">
      <w:fldChar w:fldCharType="begin"/>
    </w:r>
    <w:r w:rsidRPr="00C56396">
      <w:instrText xml:space="preserve"> PAGE   \* MERGEFORMAT </w:instrText>
    </w:r>
    <w:r w:rsidRPr="00C56396">
      <w:fldChar w:fldCharType="separate"/>
    </w:r>
    <w:r w:rsidRPr="00C56396">
      <w:rPr>
        <w:b/>
        <w:bCs/>
        <w:noProof/>
      </w:rPr>
      <w:t>1</w:t>
    </w:r>
    <w:r w:rsidRPr="00C56396">
      <w:rPr>
        <w:b/>
        <w:bCs/>
        <w:noProof/>
      </w:rPr>
      <w:fldChar w:fldCharType="end"/>
    </w:r>
    <w:r w:rsidRPr="00C56396">
      <w:rPr>
        <w:b/>
        <w:bCs/>
      </w:rPr>
      <w:t xml:space="preserve"> </w:t>
    </w:r>
    <w:r w:rsidRPr="00C56396">
      <w:t>|</w:t>
    </w:r>
    <w:r w:rsidRPr="00C56396">
      <w:rPr>
        <w:b/>
        <w:bCs/>
      </w:rPr>
      <w:t xml:space="preserve"> </w:t>
    </w:r>
    <w:r w:rsidR="004B09BD">
      <w:t>Risk management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E881" w14:textId="77777777" w:rsidR="00C06B37" w:rsidRDefault="00C06B37" w:rsidP="00BD277D">
      <w:r>
        <w:separator/>
      </w:r>
    </w:p>
  </w:footnote>
  <w:footnote w:type="continuationSeparator" w:id="0">
    <w:p w14:paraId="4E3CBDF1" w14:textId="77777777" w:rsidR="00C06B37" w:rsidRDefault="00C06B37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CDD9" w14:textId="77777777" w:rsidR="003101D3" w:rsidRDefault="003F1F58">
    <w:pPr>
      <w:pStyle w:val="Header"/>
    </w:pPr>
    <w:r>
      <w:t>Department of State Development</w:t>
    </w:r>
    <w:r w:rsidR="00093C9B">
      <w:t>, Infrastructure 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7C06" w14:textId="77777777" w:rsidR="007663EA" w:rsidRDefault="003F1F58">
    <w:pPr>
      <w:pStyle w:val="Header"/>
    </w:pPr>
    <w:r>
      <w:t>Department of State Development</w:t>
    </w:r>
    <w:r w:rsidR="0001718D">
      <w:t>,</w:t>
    </w:r>
    <w:r w:rsidR="008C58A8">
      <w:t xml:space="preserve"> </w:t>
    </w:r>
    <w:r>
      <w:t>Infrastructure</w:t>
    </w:r>
    <w:r w:rsidR="0001718D">
      <w:t xml:space="preserve">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5BBD"/>
    <w:multiLevelType w:val="hybridMultilevel"/>
    <w:tmpl w:val="66E28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97120"/>
    <w:multiLevelType w:val="hybridMultilevel"/>
    <w:tmpl w:val="44D40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97FBD"/>
    <w:multiLevelType w:val="hybridMultilevel"/>
    <w:tmpl w:val="794CBB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084"/>
    <w:multiLevelType w:val="hybridMultilevel"/>
    <w:tmpl w:val="2B9C8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111AA"/>
    <w:multiLevelType w:val="hybridMultilevel"/>
    <w:tmpl w:val="AEAC6A9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1135691">
    <w:abstractNumId w:val="2"/>
  </w:num>
  <w:num w:numId="2" w16cid:durableId="1157307964">
    <w:abstractNumId w:val="3"/>
  </w:num>
  <w:num w:numId="3" w16cid:durableId="1870482320">
    <w:abstractNumId w:val="1"/>
  </w:num>
  <w:num w:numId="4" w16cid:durableId="2100708395">
    <w:abstractNumId w:val="0"/>
  </w:num>
  <w:num w:numId="5" w16cid:durableId="2051610588">
    <w:abstractNumId w:val="7"/>
  </w:num>
  <w:num w:numId="6" w16cid:durableId="889614501">
    <w:abstractNumId w:val="5"/>
  </w:num>
  <w:num w:numId="7" w16cid:durableId="799229344">
    <w:abstractNumId w:val="4"/>
  </w:num>
  <w:num w:numId="8" w16cid:durableId="1686056280">
    <w:abstractNumId w:val="8"/>
  </w:num>
  <w:num w:numId="9" w16cid:durableId="1222130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49"/>
    <w:rsid w:val="000078CB"/>
    <w:rsid w:val="000149AC"/>
    <w:rsid w:val="0001718D"/>
    <w:rsid w:val="00040726"/>
    <w:rsid w:val="000425DB"/>
    <w:rsid w:val="00074FA8"/>
    <w:rsid w:val="00076F13"/>
    <w:rsid w:val="00093C9B"/>
    <w:rsid w:val="0012176C"/>
    <w:rsid w:val="00123576"/>
    <w:rsid w:val="00135DB5"/>
    <w:rsid w:val="0015555C"/>
    <w:rsid w:val="00193786"/>
    <w:rsid w:val="00197C5B"/>
    <w:rsid w:val="001D09B6"/>
    <w:rsid w:val="001D4F84"/>
    <w:rsid w:val="001D7892"/>
    <w:rsid w:val="001F1B91"/>
    <w:rsid w:val="001F4D96"/>
    <w:rsid w:val="00223309"/>
    <w:rsid w:val="00226BAD"/>
    <w:rsid w:val="00226D57"/>
    <w:rsid w:val="002A3BB5"/>
    <w:rsid w:val="002B225A"/>
    <w:rsid w:val="002F676B"/>
    <w:rsid w:val="00307C95"/>
    <w:rsid w:val="003101D3"/>
    <w:rsid w:val="003435C3"/>
    <w:rsid w:val="003A6863"/>
    <w:rsid w:val="003F1F58"/>
    <w:rsid w:val="00423F1D"/>
    <w:rsid w:val="004872D4"/>
    <w:rsid w:val="004A0D80"/>
    <w:rsid w:val="004B09BD"/>
    <w:rsid w:val="004E4C1F"/>
    <w:rsid w:val="004F01AB"/>
    <w:rsid w:val="00502972"/>
    <w:rsid w:val="005061D9"/>
    <w:rsid w:val="005304C2"/>
    <w:rsid w:val="00532015"/>
    <w:rsid w:val="00581E47"/>
    <w:rsid w:val="00581EEE"/>
    <w:rsid w:val="00595F41"/>
    <w:rsid w:val="005A3925"/>
    <w:rsid w:val="005B0E3E"/>
    <w:rsid w:val="005B18A8"/>
    <w:rsid w:val="005B235E"/>
    <w:rsid w:val="005D4EEE"/>
    <w:rsid w:val="005D5A17"/>
    <w:rsid w:val="005E08E7"/>
    <w:rsid w:val="005E117B"/>
    <w:rsid w:val="00651D25"/>
    <w:rsid w:val="00652652"/>
    <w:rsid w:val="00654221"/>
    <w:rsid w:val="00663DCF"/>
    <w:rsid w:val="00696F6B"/>
    <w:rsid w:val="00697CD4"/>
    <w:rsid w:val="006D3CED"/>
    <w:rsid w:val="006D5292"/>
    <w:rsid w:val="006D651E"/>
    <w:rsid w:val="006D75C4"/>
    <w:rsid w:val="006F7232"/>
    <w:rsid w:val="00703D9B"/>
    <w:rsid w:val="007053E0"/>
    <w:rsid w:val="007063A0"/>
    <w:rsid w:val="00720775"/>
    <w:rsid w:val="00721A46"/>
    <w:rsid w:val="007609B1"/>
    <w:rsid w:val="00760C1F"/>
    <w:rsid w:val="007663EA"/>
    <w:rsid w:val="0077020E"/>
    <w:rsid w:val="007C0620"/>
    <w:rsid w:val="007C7238"/>
    <w:rsid w:val="007E3623"/>
    <w:rsid w:val="007E4686"/>
    <w:rsid w:val="007F3A23"/>
    <w:rsid w:val="00804773"/>
    <w:rsid w:val="00815337"/>
    <w:rsid w:val="00850596"/>
    <w:rsid w:val="00855816"/>
    <w:rsid w:val="00867AFC"/>
    <w:rsid w:val="00876B25"/>
    <w:rsid w:val="00883C3F"/>
    <w:rsid w:val="00896055"/>
    <w:rsid w:val="008C58A8"/>
    <w:rsid w:val="008D4050"/>
    <w:rsid w:val="008F4933"/>
    <w:rsid w:val="008F56CB"/>
    <w:rsid w:val="00902DF1"/>
    <w:rsid w:val="0091044D"/>
    <w:rsid w:val="009123B9"/>
    <w:rsid w:val="0092029D"/>
    <w:rsid w:val="0093024C"/>
    <w:rsid w:val="00947F7C"/>
    <w:rsid w:val="00953161"/>
    <w:rsid w:val="009532CC"/>
    <w:rsid w:val="00956CD5"/>
    <w:rsid w:val="00983FF0"/>
    <w:rsid w:val="009A43E9"/>
    <w:rsid w:val="009B6EBB"/>
    <w:rsid w:val="009F3F00"/>
    <w:rsid w:val="00A015E5"/>
    <w:rsid w:val="00A148EE"/>
    <w:rsid w:val="00A21822"/>
    <w:rsid w:val="00A532DA"/>
    <w:rsid w:val="00A70B69"/>
    <w:rsid w:val="00A70F69"/>
    <w:rsid w:val="00A80336"/>
    <w:rsid w:val="00A932D9"/>
    <w:rsid w:val="00AA7A1B"/>
    <w:rsid w:val="00AD2598"/>
    <w:rsid w:val="00AE0A41"/>
    <w:rsid w:val="00B22D6E"/>
    <w:rsid w:val="00B26052"/>
    <w:rsid w:val="00B53351"/>
    <w:rsid w:val="00B73DFD"/>
    <w:rsid w:val="00B87884"/>
    <w:rsid w:val="00BA2B85"/>
    <w:rsid w:val="00BC2BCF"/>
    <w:rsid w:val="00BD264E"/>
    <w:rsid w:val="00BD277D"/>
    <w:rsid w:val="00BD7ADD"/>
    <w:rsid w:val="00BE7A00"/>
    <w:rsid w:val="00C06B37"/>
    <w:rsid w:val="00C128EF"/>
    <w:rsid w:val="00C26B34"/>
    <w:rsid w:val="00C33357"/>
    <w:rsid w:val="00C33FFB"/>
    <w:rsid w:val="00C47803"/>
    <w:rsid w:val="00C50491"/>
    <w:rsid w:val="00C50692"/>
    <w:rsid w:val="00C56396"/>
    <w:rsid w:val="00C64877"/>
    <w:rsid w:val="00C66BFC"/>
    <w:rsid w:val="00C9609E"/>
    <w:rsid w:val="00CA0370"/>
    <w:rsid w:val="00CA0FCE"/>
    <w:rsid w:val="00CB4C1A"/>
    <w:rsid w:val="00CB6CA5"/>
    <w:rsid w:val="00CC186A"/>
    <w:rsid w:val="00CD1DB9"/>
    <w:rsid w:val="00CD33B1"/>
    <w:rsid w:val="00CD3802"/>
    <w:rsid w:val="00CD6B49"/>
    <w:rsid w:val="00CF360E"/>
    <w:rsid w:val="00CF6C61"/>
    <w:rsid w:val="00D0693C"/>
    <w:rsid w:val="00D108E6"/>
    <w:rsid w:val="00D16DEC"/>
    <w:rsid w:val="00D2011A"/>
    <w:rsid w:val="00D401C2"/>
    <w:rsid w:val="00D4190B"/>
    <w:rsid w:val="00D55D20"/>
    <w:rsid w:val="00D630ED"/>
    <w:rsid w:val="00D70FE3"/>
    <w:rsid w:val="00D728FC"/>
    <w:rsid w:val="00D81D14"/>
    <w:rsid w:val="00D8299E"/>
    <w:rsid w:val="00D872FE"/>
    <w:rsid w:val="00D93D9F"/>
    <w:rsid w:val="00D94659"/>
    <w:rsid w:val="00DA0E12"/>
    <w:rsid w:val="00DA4073"/>
    <w:rsid w:val="00DA5B36"/>
    <w:rsid w:val="00DD7EDF"/>
    <w:rsid w:val="00E07641"/>
    <w:rsid w:val="00E362D6"/>
    <w:rsid w:val="00E420FA"/>
    <w:rsid w:val="00E6142B"/>
    <w:rsid w:val="00E66F02"/>
    <w:rsid w:val="00EB4698"/>
    <w:rsid w:val="00F07EA6"/>
    <w:rsid w:val="00F32EA5"/>
    <w:rsid w:val="00F42590"/>
    <w:rsid w:val="00F64966"/>
    <w:rsid w:val="00F80542"/>
    <w:rsid w:val="00F8544D"/>
    <w:rsid w:val="00F8661D"/>
    <w:rsid w:val="00FA2C53"/>
    <w:rsid w:val="00FA3161"/>
    <w:rsid w:val="00FE0E4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,#b83027,#8ed8f8"/>
    </o:shapedefaults>
    <o:shapelayout v:ext="edit">
      <o:idmap v:ext="edit" data="2"/>
    </o:shapelayout>
  </w:shapeDefaults>
  <w:decimalSymbol w:val="."/>
  <w:listSeparator w:val=","/>
  <w14:docId w14:val="610DB289"/>
  <w15:docId w15:val="{C024E514-D754-4106-AB0A-F2BE4229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A00"/>
    <w:pPr>
      <w:spacing w:before="120" w:after="120"/>
    </w:pPr>
    <w:rPr>
      <w:rFonts w:ascii="Arial" w:hAnsi="Arial"/>
      <w:color w:val="131B22" w:themeColor="text2" w:themeShade="80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CD6B49"/>
    <w:pPr>
      <w:keepNext/>
      <w:spacing w:before="0" w:after="240"/>
      <w:outlineLvl w:val="0"/>
    </w:pPr>
    <w:rPr>
      <w:color w:val="00B7B7" w:themeColor="accent2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CD6B49"/>
    <w:pPr>
      <w:spacing w:before="240" w:after="160"/>
      <w:outlineLvl w:val="1"/>
    </w:pPr>
    <w:rPr>
      <w:bCs/>
      <w:color w:val="00B7B7" w:themeColor="accent2"/>
      <w:sz w:val="36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CD6B49"/>
    <w:rPr>
      <w:rFonts w:ascii="Arial" w:hAnsi="Arial"/>
      <w:bCs/>
      <w:color w:val="00B7B7" w:themeColor="accent2"/>
      <w:sz w:val="36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/>
      <w:bCs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CD6B49"/>
    <w:rPr>
      <w:rFonts w:ascii="Arial" w:hAnsi="Arial"/>
      <w:color w:val="00B7B7" w:themeColor="accent2"/>
      <w:kern w:val="32"/>
      <w:sz w:val="44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kouttext">
    <w:name w:val="Breakout text"/>
    <w:basedOn w:val="Normal"/>
    <w:uiPriority w:val="7"/>
    <w:qFormat/>
    <w:rsid w:val="00CD6B49"/>
    <w:pPr>
      <w:spacing w:line="271" w:lineRule="auto"/>
    </w:pPr>
    <w:rPr>
      <w:rFonts w:eastAsiaTheme="minorHAnsi" w:cstheme="minorBidi"/>
      <w:szCs w:val="19"/>
    </w:rPr>
  </w:style>
  <w:style w:type="table" w:customStyle="1" w:styleId="TableGrid1">
    <w:name w:val="Table Grid1"/>
    <w:basedOn w:val="TableNormal"/>
    <w:next w:val="TableGrid"/>
    <w:rsid w:val="00CD6B49"/>
    <w:rPr>
      <w:rFonts w:ascii="Arial" w:hAnsi="Arial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D6B49"/>
    <w:rPr>
      <w:rFonts w:asciiTheme="minorHAnsi" w:eastAsiaTheme="minorHAnsi" w:hAnsiTheme="minorHAnsi" w:cstheme="minorBidi"/>
      <w:sz w:val="22"/>
      <w:szCs w:val="24"/>
      <w:lang w:eastAsia="en-US"/>
    </w:rPr>
    <w:tblPr>
      <w:tblStyleRowBandSize w:val="1"/>
      <w:tblStyleColBandSize w:val="1"/>
      <w:tblBorders>
        <w:top w:val="single" w:sz="4" w:space="0" w:color="F2AC7B" w:themeColor="accent3" w:themeTint="99"/>
        <w:left w:val="single" w:sz="4" w:space="0" w:color="F2AC7B" w:themeColor="accent3" w:themeTint="99"/>
        <w:bottom w:val="single" w:sz="4" w:space="0" w:color="F2AC7B" w:themeColor="accent3" w:themeTint="99"/>
        <w:right w:val="single" w:sz="4" w:space="0" w:color="F2AC7B" w:themeColor="accent3" w:themeTint="99"/>
        <w:insideH w:val="single" w:sz="4" w:space="0" w:color="F2AC7B" w:themeColor="accent3" w:themeTint="99"/>
        <w:insideV w:val="single" w:sz="4" w:space="0" w:color="F2AC7B" w:themeColor="accent3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24" w:themeColor="accent3"/>
          <w:left w:val="single" w:sz="4" w:space="0" w:color="EA7624" w:themeColor="accent3"/>
          <w:bottom w:val="single" w:sz="4" w:space="0" w:color="EA7624" w:themeColor="accent3"/>
          <w:right w:val="single" w:sz="4" w:space="0" w:color="EA7624" w:themeColor="accent3"/>
          <w:insideH w:val="nil"/>
          <w:insideV w:val="nil"/>
        </w:tcBorders>
        <w:shd w:val="clear" w:color="auto" w:fill="EA7624" w:themeFill="accent3"/>
      </w:tcPr>
    </w:tblStylePr>
    <w:tblStylePr w:type="lastRow">
      <w:rPr>
        <w:b/>
        <w:bCs/>
      </w:rPr>
      <w:tblPr/>
      <w:tcPr>
        <w:tcBorders>
          <w:top w:val="double" w:sz="4" w:space="0" w:color="EA7624" w:themeColor="accent3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A7624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AE3D3" w:themeFill="accent3" w:themeFillTint="33"/>
      </w:tcPr>
    </w:tblStylePr>
    <w:tblStylePr w:type="band1Horz">
      <w:tblPr/>
      <w:tcPr>
        <w:shd w:val="clear" w:color="auto" w:fill="FAE3D3" w:themeFill="accent3" w:themeFillTint="33"/>
      </w:tcPr>
    </w:tblStylePr>
  </w:style>
  <w:style w:type="paragraph" w:styleId="Revision">
    <w:name w:val="Revision"/>
    <w:hidden/>
    <w:uiPriority w:val="99"/>
    <w:semiHidden/>
    <w:rsid w:val="00D8299E"/>
    <w:rPr>
      <w:rFonts w:ascii="Arial" w:hAnsi="Arial"/>
      <w:color w:val="131B22" w:themeColor="text2" w:themeShade="80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9532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32CC"/>
  </w:style>
  <w:style w:type="character" w:customStyle="1" w:styleId="CommentTextChar">
    <w:name w:val="Comment Text Char"/>
    <w:basedOn w:val="DefaultParagraphFont"/>
    <w:link w:val="CommentText"/>
    <w:rsid w:val="009532CC"/>
    <w:rPr>
      <w:rFonts w:ascii="Arial" w:hAnsi="Arial"/>
      <w:color w:val="131B22" w:themeColor="text2" w:themeShade="8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nziel\Downloads\A4%20portrait%20Report%20(no%20cover).dotx" TargetMode="External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c0628-237d-49f5-935c-bd2c7ec08abe">
      <Terms xmlns="http://schemas.microsoft.com/office/infopath/2007/PartnerControls"/>
    </lcf76f155ced4ddcb4097134ff3c332f>
    <TaxCatchAll xmlns="5a15fa60-9634-47f1-930a-19d4e85257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BDDB12607034BB2506294396ACA13" ma:contentTypeVersion="17" ma:contentTypeDescription="Create a new document." ma:contentTypeScope="" ma:versionID="5b47944d1a9aecbc85de7c335e8f0d42">
  <xsd:schema xmlns:xsd="http://www.w3.org/2001/XMLSchema" xmlns:xs="http://www.w3.org/2001/XMLSchema" xmlns:p="http://schemas.microsoft.com/office/2006/metadata/properties" xmlns:ns2="dd4c0628-237d-49f5-935c-bd2c7ec08abe" xmlns:ns3="5a15fa60-9634-47f1-930a-19d4e85257e5" targetNamespace="http://schemas.microsoft.com/office/2006/metadata/properties" ma:root="true" ma:fieldsID="69324a4e6792c35552f355f06e6fba1d" ns2:_="" ns3:_="">
    <xsd:import namespace="dd4c0628-237d-49f5-935c-bd2c7ec08abe"/>
    <xsd:import namespace="5a15fa60-9634-47f1-930a-19d4e8525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c0628-237d-49f5-935c-bd2c7ec08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fa60-9634-47f1-930a-19d4e8525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cc59b4-f561-48e1-a5d1-838f10c14311}" ma:internalName="TaxCatchAll" ma:showField="CatchAllData" ma:web="5a15fa60-9634-47f1-930a-19d4e8525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EB663-6A43-4256-B520-3A6B9B2B15C1}">
  <ds:schemaRefs>
    <ds:schemaRef ds:uri="http://schemas.microsoft.com/office/2006/metadata/properties"/>
    <ds:schemaRef ds:uri="http://schemas.microsoft.com/office/infopath/2007/PartnerControls"/>
    <ds:schemaRef ds:uri="dd4c0628-237d-49f5-935c-bd2c7ec08abe"/>
    <ds:schemaRef ds:uri="5a15fa60-9634-47f1-930a-19d4e85257e5"/>
  </ds:schemaRefs>
</ds:datastoreItem>
</file>

<file path=customXml/itemProps3.xml><?xml version="1.0" encoding="utf-8"?>
<ds:datastoreItem xmlns:ds="http://schemas.openxmlformats.org/officeDocument/2006/customXml" ds:itemID="{602AB26F-39A5-428A-903A-FBDE81F14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7748A-B25C-40CC-B1AD-EB053D443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c0628-237d-49f5-935c-bd2c7ec08abe"/>
    <ds:schemaRef ds:uri="5a15fa60-9634-47f1-930a-19d4e8525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b2bee6-535c-4748-bf78-c30733511bcd}" enabled="0" method="" siteId="{7db2bee6-535c-4748-bf78-c30733511b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portrait Report (no cover)</Template>
  <TotalTime>0</TotalTime>
  <Pages>2</Pages>
  <Words>414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Rennick</dc:creator>
  <cp:keywords/>
  <cp:lastModifiedBy>Lynne MacKenzie</cp:lastModifiedBy>
  <cp:revision>9</cp:revision>
  <cp:lastPrinted>1900-12-31T14:00:00Z</cp:lastPrinted>
  <dcterms:created xsi:type="dcterms:W3CDTF">2025-03-28T03:49:00Z</dcterms:created>
  <dcterms:modified xsi:type="dcterms:W3CDTF">2025-03-31T02:22:00Z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0x010100B01BDDB12607034BB2506294396ACA13</vt:lpwstr>
  </property>
  <property fmtid="{D5CDD505-2E9C-101B-9397-08002B2CF9AE}" pid="12" name="GrammarlyDocumentId">
    <vt:lpwstr>75859799-57da-4454-afab-2f60e56ed313</vt:lpwstr>
  </property>
</Properties>
</file>