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280749"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69E09E16" w:rsidR="003C632B" w:rsidRPr="003C632B" w:rsidRDefault="00280749"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16B29">
            <w:rPr>
              <w:rStyle w:val="Heading1Char"/>
            </w:rPr>
            <w:t>Advisory Services – Peer Review – Financial and Commercial Analysis</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1F19FF42" w:rsidR="003C632B" w:rsidRPr="0014561E" w:rsidRDefault="00280749" w:rsidP="003C632B">
            <w:pPr>
              <w:spacing w:before="120"/>
              <w:rPr>
                <w:rFonts w:eastAsia="Arial" w:cs="Noto Sans"/>
                <w:b/>
              </w:rPr>
            </w:pPr>
            <w:r w:rsidRPr="0014561E">
              <w:rPr>
                <w:rFonts w:eastAsia="Arial" w:cs="Noto Sans"/>
                <w:b/>
              </w:rPr>
              <w:t xml:space="preserve">Instructions for using this document </w:t>
            </w:r>
          </w:p>
          <w:p w14:paraId="69243D3B" w14:textId="5A74CC1B" w:rsidR="003C632B" w:rsidRPr="0014561E" w:rsidRDefault="00280749" w:rsidP="003C632B">
            <w:pPr>
              <w:spacing w:before="120"/>
              <w:rPr>
                <w:rFonts w:eastAsia="Arial" w:cs="Noto Sans"/>
                <w:b/>
              </w:rPr>
            </w:pPr>
            <w:r w:rsidRPr="0014561E">
              <w:rPr>
                <w:rFonts w:eastAsia="Arial" w:cs="Noto Sans"/>
                <w:b/>
                <w:highlight w:val="cyan"/>
              </w:rPr>
              <w:t>(</w:t>
            </w:r>
            <w:r>
              <w:rPr>
                <w:rFonts w:eastAsia="Arial" w:cs="Noto Sans"/>
                <w:b/>
                <w:highlight w:val="cyan"/>
              </w:rPr>
              <w:t>T</w:t>
            </w:r>
            <w:r w:rsidRPr="0014561E">
              <w:rPr>
                <w:rFonts w:eastAsia="Arial" w:cs="Noto Sans"/>
                <w:b/>
                <w:highlight w:val="cyan"/>
              </w:rPr>
              <w:t>his entire instructions box is to be deleted before sending to potential suppliers):</w:t>
            </w:r>
            <w:r w:rsidR="003C632B" w:rsidRPr="0014561E">
              <w:rPr>
                <w:rFonts w:eastAsia="Arial" w:cs="Noto Sans"/>
                <w:b/>
              </w:rPr>
              <w:t xml:space="preserve"> </w:t>
            </w:r>
          </w:p>
          <w:p w14:paraId="2DB0FB0B" w14:textId="77777777" w:rsidR="00DE04A7" w:rsidRPr="00DE04A7" w:rsidRDefault="00DE04A7" w:rsidP="00A25384">
            <w:pPr>
              <w:pStyle w:val="ListBullet"/>
              <w:numPr>
                <w:ilvl w:val="0"/>
                <w:numId w:val="3"/>
              </w:numPr>
              <w:rPr>
                <w:rFonts w:ascii="Noto Sans" w:hAnsi="Noto Sans" w:cs="Noto Sans"/>
                <w:color w:val="auto"/>
              </w:rPr>
            </w:pPr>
            <w:r w:rsidRPr="00DE04A7">
              <w:rPr>
                <w:rFonts w:ascii="Noto Sans" w:hAnsi="Noto Sans" w:cs="Noto Sans"/>
                <w:color w:val="auto"/>
              </w:rPr>
              <w:t xml:space="preserve">This is the standard Scope of Services that forms part of the Invitation to Offer (ITO) for the procuring of peer review services for Financial and Commercial analysis. </w:t>
            </w:r>
          </w:p>
          <w:p w14:paraId="799B9F79" w14:textId="77777777" w:rsidR="00DE04A7" w:rsidRPr="00DE04A7" w:rsidRDefault="00DE04A7" w:rsidP="00A25384">
            <w:pPr>
              <w:pStyle w:val="ListBullet"/>
              <w:numPr>
                <w:ilvl w:val="0"/>
                <w:numId w:val="3"/>
              </w:numPr>
              <w:rPr>
                <w:rFonts w:ascii="Noto Sans" w:hAnsi="Noto Sans" w:cs="Noto Sans"/>
                <w:color w:val="auto"/>
              </w:rPr>
            </w:pPr>
            <w:r w:rsidRPr="00DE04A7">
              <w:rPr>
                <w:rFonts w:ascii="Noto Sans" w:hAnsi="Noto Sans" w:cs="Noto Sans"/>
                <w:color w:val="auto"/>
              </w:rPr>
              <w:t xml:space="preserve">Careful consideration needs to be given to ensure the Scope of Services is tailored to suit the business case requirements. This document should be amended to reflect the known and/or anticipated requirements. </w:t>
            </w:r>
          </w:p>
          <w:p w14:paraId="6241D3ED" w14:textId="77777777" w:rsidR="00DE04A7" w:rsidRPr="00DE04A7" w:rsidRDefault="00DE04A7" w:rsidP="00A25384">
            <w:pPr>
              <w:pStyle w:val="ListBullet"/>
              <w:numPr>
                <w:ilvl w:val="0"/>
                <w:numId w:val="3"/>
              </w:numPr>
              <w:rPr>
                <w:rFonts w:ascii="Noto Sans" w:hAnsi="Noto Sans" w:cs="Noto Sans"/>
                <w:color w:val="auto"/>
              </w:rPr>
            </w:pPr>
            <w:r w:rsidRPr="00DE04A7">
              <w:rPr>
                <w:rFonts w:ascii="Noto Sans" w:hAnsi="Noto Sans" w:cs="Noto Sans"/>
                <w:color w:val="auto"/>
              </w:rPr>
              <w:t xml:space="preserve">Edit all </w:t>
            </w:r>
            <w:r w:rsidRPr="00DE04A7">
              <w:rPr>
                <w:rFonts w:ascii="Noto Sans" w:hAnsi="Noto Sans" w:cs="Noto Sans"/>
                <w:color w:val="auto"/>
                <w:highlight w:val="yellow"/>
              </w:rPr>
              <w:t>&lt;&lt;yellow highlighted&gt;&gt;</w:t>
            </w:r>
            <w:r w:rsidRPr="00DE04A7">
              <w:rPr>
                <w:rFonts w:ascii="Noto Sans" w:hAnsi="Noto Sans" w:cs="Noto Sans"/>
                <w:color w:val="auto"/>
              </w:rPr>
              <w:t xml:space="preserve"> sections - provide details relevant to your agency’s requirements and remove all highlighting when complete.</w:t>
            </w:r>
          </w:p>
          <w:p w14:paraId="126C0564" w14:textId="77777777" w:rsidR="00DE04A7" w:rsidRPr="00DE04A7" w:rsidRDefault="00DE04A7" w:rsidP="00A25384">
            <w:pPr>
              <w:pStyle w:val="ListBullet"/>
              <w:numPr>
                <w:ilvl w:val="0"/>
                <w:numId w:val="3"/>
              </w:numPr>
              <w:rPr>
                <w:rFonts w:ascii="Noto Sans" w:hAnsi="Noto Sans" w:cs="Noto Sans"/>
                <w:color w:val="auto"/>
              </w:rPr>
            </w:pPr>
            <w:r w:rsidRPr="00DE04A7">
              <w:rPr>
                <w:rFonts w:ascii="Noto Sans" w:hAnsi="Noto Sans" w:cs="Noto Sans"/>
                <w:color w:val="auto"/>
              </w:rPr>
              <w:t xml:space="preserve">Delete all </w:t>
            </w:r>
            <w:r w:rsidRPr="00DE04A7">
              <w:rPr>
                <w:rFonts w:ascii="Noto Sans" w:hAnsi="Noto Sans" w:cs="Noto Sans"/>
                <w:color w:val="auto"/>
                <w:highlight w:val="cyan"/>
              </w:rPr>
              <w:t>cyan highlighted text</w:t>
            </w:r>
            <w:r w:rsidRPr="00DE04A7">
              <w:rPr>
                <w:rFonts w:ascii="Noto Sans" w:hAnsi="Noto Sans" w:cs="Noto Sans"/>
                <w:color w:val="auto"/>
              </w:rPr>
              <w:t xml:space="preserve"> and references to Drafting Notes before issuing to potential suppliers.</w:t>
            </w:r>
          </w:p>
          <w:p w14:paraId="55177C15" w14:textId="77777777" w:rsidR="00DE04A7" w:rsidRPr="00E04344" w:rsidRDefault="00DE04A7" w:rsidP="00A25384">
            <w:pPr>
              <w:pStyle w:val="ListBullet"/>
              <w:numPr>
                <w:ilvl w:val="0"/>
                <w:numId w:val="3"/>
              </w:numPr>
              <w:rPr>
                <w:rFonts w:ascii="Noto Sans" w:hAnsi="Noto Sans" w:cs="Noto Sans"/>
                <w:color w:val="auto"/>
              </w:rPr>
            </w:pPr>
            <w:r w:rsidRPr="00DE04A7">
              <w:rPr>
                <w:rFonts w:ascii="Noto Sans" w:hAnsi="Noto Sans" w:cs="Noto Sans"/>
                <w:color w:val="auto"/>
              </w:rPr>
              <w:t>Consideration should also be given to providing additional information that assists potential suppliers in responding to this ITO. Generally, providing greater detail means that suppliers are less likely to reflect perceived risks in the offer, which allows greater opportunity for better value for money offers. The following l information should be included/discussed:</w:t>
            </w:r>
          </w:p>
          <w:p w14:paraId="62B4378B" w14:textId="77777777" w:rsidR="006862A5" w:rsidRPr="006862A5" w:rsidRDefault="006862A5" w:rsidP="00A25384">
            <w:pPr>
              <w:pStyle w:val="ListBullet"/>
              <w:numPr>
                <w:ilvl w:val="1"/>
                <w:numId w:val="3"/>
              </w:numPr>
              <w:rPr>
                <w:rFonts w:ascii="Noto Sans" w:hAnsi="Noto Sans" w:cs="Noto Sans"/>
                <w:color w:val="auto"/>
              </w:rPr>
            </w:pPr>
            <w:r w:rsidRPr="006862A5">
              <w:rPr>
                <w:rFonts w:ascii="Noto Sans" w:hAnsi="Noto Sans" w:cs="Noto Sans"/>
                <w:color w:val="auto"/>
              </w:rPr>
              <w:t>Scope and deliverables (activities/tasks and anticipated tangible outputs)</w:t>
            </w:r>
          </w:p>
          <w:p w14:paraId="36C3B1E1"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Project stages</w:t>
            </w:r>
          </w:p>
          <w:p w14:paraId="0C8BCB2D"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Site configurations </w:t>
            </w:r>
          </w:p>
          <w:p w14:paraId="69FE26EE"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Completed project (e.g. road, school).</w:t>
            </w:r>
          </w:p>
          <w:p w14:paraId="56287165" w14:textId="77777777" w:rsidR="006862A5" w:rsidRPr="006862A5" w:rsidRDefault="006862A5" w:rsidP="00A25384">
            <w:pPr>
              <w:pStyle w:val="ListBullet"/>
              <w:numPr>
                <w:ilvl w:val="1"/>
                <w:numId w:val="3"/>
              </w:numPr>
              <w:rPr>
                <w:rFonts w:ascii="Noto Sans" w:hAnsi="Noto Sans" w:cs="Noto Sans"/>
                <w:color w:val="auto"/>
              </w:rPr>
            </w:pPr>
            <w:r w:rsidRPr="006862A5">
              <w:rPr>
                <w:rFonts w:ascii="Noto Sans" w:hAnsi="Noto Sans" w:cs="Noto Sans"/>
                <w:color w:val="auto"/>
              </w:rPr>
              <w:t>Resources (indicative resources required and their commitment level)</w:t>
            </w:r>
          </w:p>
          <w:p w14:paraId="68930FF9"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Budget allocation </w:t>
            </w:r>
          </w:p>
          <w:p w14:paraId="6CD8ACF4"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Resource allocation </w:t>
            </w:r>
          </w:p>
          <w:p w14:paraId="4F700340"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Project working group. </w:t>
            </w:r>
          </w:p>
          <w:p w14:paraId="17399CC6" w14:textId="77777777" w:rsidR="006862A5" w:rsidRPr="006862A5" w:rsidRDefault="006862A5" w:rsidP="00A25384">
            <w:pPr>
              <w:pStyle w:val="ListBullet"/>
              <w:numPr>
                <w:ilvl w:val="1"/>
                <w:numId w:val="3"/>
              </w:numPr>
              <w:rPr>
                <w:rFonts w:ascii="Noto Sans" w:hAnsi="Noto Sans" w:cs="Noto Sans"/>
                <w:color w:val="auto"/>
              </w:rPr>
            </w:pPr>
            <w:r w:rsidRPr="006862A5">
              <w:rPr>
                <w:rFonts w:ascii="Noto Sans" w:hAnsi="Noto Sans" w:cs="Noto Sans"/>
                <w:color w:val="auto"/>
              </w:rPr>
              <w:t>Accountabilities (clarity over accountabilities of various parties and advisors in the business case)</w:t>
            </w:r>
          </w:p>
          <w:p w14:paraId="18400856"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Governance </w:t>
            </w:r>
          </w:p>
          <w:p w14:paraId="6B8C8BC1"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Delegations </w:t>
            </w:r>
          </w:p>
          <w:p w14:paraId="09DA5404"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Approval processes. </w:t>
            </w:r>
          </w:p>
          <w:p w14:paraId="17D5DC52" w14:textId="77777777" w:rsidR="006862A5" w:rsidRPr="006862A5" w:rsidRDefault="006862A5" w:rsidP="00A25384">
            <w:pPr>
              <w:pStyle w:val="ListBullet"/>
              <w:numPr>
                <w:ilvl w:val="1"/>
                <w:numId w:val="3"/>
              </w:numPr>
              <w:rPr>
                <w:rFonts w:ascii="Noto Sans" w:hAnsi="Noto Sans" w:cs="Noto Sans"/>
                <w:color w:val="auto"/>
              </w:rPr>
            </w:pPr>
            <w:r w:rsidRPr="006862A5">
              <w:rPr>
                <w:rFonts w:ascii="Noto Sans" w:hAnsi="Noto Sans" w:cs="Noto Sans"/>
                <w:color w:val="auto"/>
              </w:rPr>
              <w:t>Program (the forecast timeframe and milestones for deliverables)</w:t>
            </w:r>
          </w:p>
          <w:p w14:paraId="0271F87B"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Schedule of works </w:t>
            </w:r>
          </w:p>
          <w:p w14:paraId="69562D1F"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Project stages. </w:t>
            </w:r>
          </w:p>
          <w:p w14:paraId="2A0DDF13" w14:textId="77777777" w:rsidR="006862A5" w:rsidRPr="006862A5" w:rsidRDefault="006862A5" w:rsidP="00A25384">
            <w:pPr>
              <w:pStyle w:val="ListBullet"/>
              <w:numPr>
                <w:ilvl w:val="1"/>
                <w:numId w:val="3"/>
              </w:numPr>
              <w:rPr>
                <w:rFonts w:ascii="Noto Sans" w:hAnsi="Noto Sans" w:cs="Noto Sans"/>
                <w:color w:val="auto"/>
              </w:rPr>
            </w:pPr>
            <w:r w:rsidRPr="006862A5">
              <w:rPr>
                <w:rFonts w:ascii="Noto Sans" w:hAnsi="Noto Sans" w:cs="Noto Sans"/>
                <w:color w:val="auto"/>
              </w:rPr>
              <w:t>Quality (expectations of the standard of work and the application of relevant frameworks/policies)</w:t>
            </w:r>
          </w:p>
          <w:p w14:paraId="71339A17"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Project management overview.</w:t>
            </w:r>
          </w:p>
          <w:p w14:paraId="63AB5B6A" w14:textId="77777777" w:rsidR="006862A5" w:rsidRPr="006862A5" w:rsidRDefault="006862A5" w:rsidP="00A25384">
            <w:pPr>
              <w:pStyle w:val="ListBullet"/>
              <w:numPr>
                <w:ilvl w:val="1"/>
                <w:numId w:val="3"/>
              </w:numPr>
              <w:rPr>
                <w:rFonts w:ascii="Noto Sans" w:hAnsi="Noto Sans" w:cs="Noto Sans"/>
                <w:color w:val="auto"/>
              </w:rPr>
            </w:pPr>
            <w:r w:rsidRPr="006862A5">
              <w:rPr>
                <w:rFonts w:ascii="Noto Sans" w:hAnsi="Noto Sans" w:cs="Noto Sans"/>
                <w:color w:val="auto"/>
              </w:rPr>
              <w:t>Risks (any specific risks that may contribute to the complexity of the business case)</w:t>
            </w:r>
          </w:p>
          <w:p w14:paraId="3FDEE379" w14:textId="77777777" w:rsidR="006862A5" w:rsidRPr="006862A5"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 xml:space="preserve">Cost escalations </w:t>
            </w:r>
          </w:p>
          <w:p w14:paraId="42AC348A" w14:textId="2CB32B0D" w:rsidR="006862A5" w:rsidRPr="00DE04A7" w:rsidRDefault="006862A5" w:rsidP="00A25384">
            <w:pPr>
              <w:pStyle w:val="ListBullet"/>
              <w:numPr>
                <w:ilvl w:val="2"/>
                <w:numId w:val="3"/>
              </w:numPr>
              <w:rPr>
                <w:rFonts w:ascii="Noto Sans" w:hAnsi="Noto Sans" w:cs="Noto Sans"/>
                <w:color w:val="auto"/>
              </w:rPr>
            </w:pPr>
            <w:r w:rsidRPr="006862A5">
              <w:rPr>
                <w:rFonts w:ascii="Noto Sans" w:hAnsi="Noto Sans" w:cs="Noto Sans"/>
                <w:color w:val="auto"/>
              </w:rPr>
              <w:t>Community expectations.</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lastRenderedPageBreak/>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This work is made available under the Creative Commons CC0 1.0 Universal Public Domain Dedication. The person who associated a work with this deed has waived all copyright and related or neighbouring rights to the work to the fullest extent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42A82B87" w14:textId="77777777" w:rsidR="00EC52A1" w:rsidRDefault="00EC52A1" w:rsidP="00EC52A1"/>
    <w:p w14:paraId="0390A8B5" w14:textId="338CDA3A" w:rsidR="003C632B" w:rsidRPr="003C632B" w:rsidRDefault="003C632B" w:rsidP="00CA1D68">
      <w:pPr>
        <w:pStyle w:val="Heading1"/>
        <w:numPr>
          <w:ilvl w:val="0"/>
          <w:numId w:val="42"/>
        </w:numPr>
      </w:pPr>
      <w:r w:rsidRPr="003C632B">
        <w:t>Purpose</w:t>
      </w:r>
    </w:p>
    <w:p w14:paraId="4659BA4E" w14:textId="7F3CEA2D" w:rsidR="00EC52A1" w:rsidRPr="00E04344" w:rsidRDefault="00E04344" w:rsidP="00E04344">
      <w:pPr>
        <w:pStyle w:val="BodyText"/>
        <w:rPr>
          <w:rFonts w:ascii="Noto Sans" w:hAnsi="Noto Sans" w:cs="Noto Sans"/>
          <w:color w:val="auto"/>
        </w:rPr>
      </w:pPr>
      <w:r w:rsidRPr="00E04344">
        <w:rPr>
          <w:rFonts w:ascii="Noto Sans" w:hAnsi="Noto Sans" w:cs="Noto Sans"/>
          <w:color w:val="auto"/>
        </w:rPr>
        <w:t xml:space="preserve">This Scope of Services provides the detailed requirements requested under the covering Invitation to Offer (ITO) document and should be read in conjunction with other ITO documents (provided separately) to guide the preparation of a tender proposal. </w:t>
      </w:r>
    </w:p>
    <w:p w14:paraId="4FD1F6C1" w14:textId="72783148" w:rsidR="003C632B" w:rsidRPr="003C632B" w:rsidRDefault="003C632B" w:rsidP="00CA1D68">
      <w:pPr>
        <w:pStyle w:val="Heading1"/>
        <w:numPr>
          <w:ilvl w:val="0"/>
          <w:numId w:val="42"/>
        </w:numPr>
      </w:pPr>
      <w:r w:rsidRPr="003C632B">
        <w:t>Scope of Services</w:t>
      </w:r>
    </w:p>
    <w:p w14:paraId="44F4351C" w14:textId="05D076BD" w:rsidR="003C632B" w:rsidRDefault="003C632B" w:rsidP="000F55BA">
      <w:pPr>
        <w:pStyle w:val="Heading2"/>
        <w:keepNext/>
        <w:numPr>
          <w:ilvl w:val="1"/>
          <w:numId w:val="42"/>
        </w:numPr>
        <w:rPr>
          <w:rFonts w:eastAsia="Times New Roman"/>
        </w:rPr>
      </w:pPr>
      <w:r w:rsidRPr="003C632B">
        <w:rPr>
          <w:rFonts w:eastAsia="Times New Roman"/>
        </w:rPr>
        <w:t>Introduction</w:t>
      </w:r>
    </w:p>
    <w:p w14:paraId="3F6B5650" w14:textId="77777777" w:rsidR="00B631D6" w:rsidRPr="00731D5A" w:rsidRDefault="00B631D6" w:rsidP="00B631D6">
      <w:pPr>
        <w:pStyle w:val="BodyText"/>
        <w:rPr>
          <w:rFonts w:ascii="Noto Sans" w:hAnsi="Noto Sans" w:cs="Noto Sans"/>
          <w:color w:val="auto"/>
        </w:rPr>
      </w:pPr>
      <w:r w:rsidRPr="00731D5A">
        <w:rPr>
          <w:rFonts w:ascii="Noto Sans" w:hAnsi="Noto Sans" w:cs="Noto Sans"/>
          <w:color w:val="auto"/>
          <w:highlight w:val="yellow"/>
        </w:rPr>
        <w:t>&lt;&lt;Owner Agency Name&gt;&gt;</w:t>
      </w:r>
      <w:r w:rsidRPr="00731D5A">
        <w:rPr>
          <w:rFonts w:ascii="Noto Sans" w:hAnsi="Noto Sans" w:cs="Noto Sans"/>
          <w:color w:val="auto"/>
        </w:rPr>
        <w:t xml:space="preserve"> is seeking the services of an industry certified/tertiary qualified advisor, who will undertake a </w:t>
      </w:r>
      <w:r w:rsidRPr="00731D5A">
        <w:rPr>
          <w:rFonts w:ascii="Noto Sans" w:hAnsi="Noto Sans" w:cs="Noto Sans"/>
          <w:color w:val="auto"/>
          <w:highlight w:val="yellow"/>
        </w:rPr>
        <w:t>&lt;&lt;insert&gt;&gt;</w:t>
      </w:r>
      <w:r w:rsidRPr="00731D5A">
        <w:rPr>
          <w:rFonts w:ascii="Noto Sans" w:hAnsi="Noto Sans" w:cs="Noto Sans"/>
          <w:color w:val="auto"/>
        </w:rPr>
        <w:t xml:space="preserve"> peer review as part of the </w:t>
      </w:r>
      <w:r w:rsidRPr="00731D5A">
        <w:rPr>
          <w:rFonts w:ascii="Noto Sans" w:hAnsi="Noto Sans" w:cs="Noto Sans"/>
          <w:color w:val="auto"/>
          <w:highlight w:val="yellow"/>
          <w:shd w:val="clear" w:color="auto" w:fill="E6E6E6"/>
        </w:rPr>
        <w:t>O</w:t>
      </w:r>
      <w:r w:rsidRPr="00731D5A">
        <w:rPr>
          <w:rFonts w:ascii="Noto Sans" w:hAnsi="Noto Sans" w:cs="Noto Sans"/>
          <w:color w:val="auto"/>
          <w:highlight w:val="yellow"/>
        </w:rPr>
        <w:t>ptions Analysis (OA)/Detailed Business Case (DBC)</w:t>
      </w:r>
      <w:r w:rsidRPr="00731D5A">
        <w:rPr>
          <w:rFonts w:ascii="Noto Sans" w:hAnsi="Noto Sans" w:cs="Noto Sans"/>
          <w:color w:val="auto"/>
        </w:rPr>
        <w:t xml:space="preserve"> for the </w:t>
      </w:r>
      <w:r w:rsidRPr="00731D5A">
        <w:rPr>
          <w:rFonts w:ascii="Noto Sans" w:hAnsi="Noto Sans" w:cs="Noto Sans"/>
          <w:color w:val="auto"/>
          <w:highlight w:val="yellow"/>
        </w:rPr>
        <w:t>&lt;&lt;Project Name&gt;&gt;</w:t>
      </w:r>
      <w:r w:rsidRPr="00731D5A">
        <w:rPr>
          <w:rFonts w:ascii="Noto Sans" w:hAnsi="Noto Sans" w:cs="Noto Sans"/>
          <w:color w:val="auto"/>
        </w:rPr>
        <w:t>.</w:t>
      </w:r>
    </w:p>
    <w:p w14:paraId="13DB1727" w14:textId="55F75077" w:rsidR="00B631D6" w:rsidRPr="00731D5A" w:rsidRDefault="00B631D6" w:rsidP="00B631D6">
      <w:pPr>
        <w:pStyle w:val="BodyText"/>
        <w:rPr>
          <w:rFonts w:ascii="Noto Sans" w:hAnsi="Noto Sans" w:cs="Noto Sans"/>
          <w:color w:val="auto"/>
        </w:rPr>
      </w:pPr>
      <w:r w:rsidRPr="00731D5A">
        <w:rPr>
          <w:rFonts w:ascii="Noto Sans" w:hAnsi="Noto Sans" w:cs="Noto Sans"/>
          <w:color w:val="auto"/>
        </w:rPr>
        <w:t xml:space="preserve">The </w:t>
      </w:r>
      <w:r w:rsidRPr="00731D5A">
        <w:rPr>
          <w:rFonts w:ascii="Noto Sans" w:hAnsi="Noto Sans" w:cs="Noto Sans"/>
          <w:color w:val="auto"/>
          <w:highlight w:val="yellow"/>
        </w:rPr>
        <w:t>&lt;&lt;Insert&gt;&gt;</w:t>
      </w:r>
      <w:r w:rsidRPr="00731D5A">
        <w:rPr>
          <w:rFonts w:ascii="Noto Sans" w:hAnsi="Noto Sans" w:cs="Noto Sans"/>
          <w:color w:val="auto"/>
        </w:rPr>
        <w:t xml:space="preserve"> </w:t>
      </w:r>
      <w:r w:rsidRPr="00731D5A">
        <w:rPr>
          <w:rFonts w:ascii="Noto Sans" w:hAnsi="Noto Sans" w:cs="Noto Sans"/>
          <w:color w:val="auto"/>
          <w:highlight w:val="yellow"/>
        </w:rPr>
        <w:t xml:space="preserve">Peer Review </w:t>
      </w:r>
      <w:r w:rsidRPr="00731D5A">
        <w:rPr>
          <w:rFonts w:ascii="Noto Sans" w:hAnsi="Noto Sans" w:cs="Noto Sans"/>
          <w:color w:val="auto"/>
        </w:rPr>
        <w:t xml:space="preserve">advisor will work in collaboration with </w:t>
      </w:r>
      <w:r w:rsidRPr="00731D5A">
        <w:rPr>
          <w:rFonts w:ascii="Noto Sans" w:hAnsi="Noto Sans" w:cs="Noto Sans"/>
          <w:color w:val="auto"/>
          <w:highlight w:val="yellow"/>
        </w:rPr>
        <w:t>&lt;&lt;Owner Agency Name&gt;&gt;</w:t>
      </w:r>
      <w:r w:rsidRPr="00731D5A">
        <w:rPr>
          <w:rFonts w:ascii="Noto Sans" w:hAnsi="Noto Sans" w:cs="Noto Sans"/>
          <w:color w:val="auto"/>
        </w:rPr>
        <w:t xml:space="preserve"> in the development of the OA/DBC in accordance with the Business Case Development Framework (BCDF) (see </w:t>
      </w:r>
      <w:hyperlink r:id="rId12" w:history="1">
        <w:r w:rsidRPr="00731D5A">
          <w:rPr>
            <w:rStyle w:val="Hyperlink"/>
            <w:rFonts w:ascii="Noto Sans" w:hAnsi="Noto Sans" w:cs="Noto Sans"/>
            <w:color w:val="auto"/>
          </w:rPr>
          <w:t>Infrastructure | State Development and Infrastructure</w:t>
        </w:r>
      </w:hyperlink>
      <w:r w:rsidRPr="00731D5A">
        <w:rPr>
          <w:rFonts w:ascii="Noto Sans" w:hAnsi="Noto Sans" w:cs="Noto Sans"/>
          <w:color w:val="auto"/>
        </w:rPr>
        <w:t xml:space="preserve"> for more details) </w:t>
      </w:r>
      <w:r w:rsidRPr="00731D5A">
        <w:rPr>
          <w:rFonts w:ascii="Noto Sans" w:hAnsi="Noto Sans" w:cs="Noto Sans"/>
          <w:color w:val="auto"/>
          <w:highlight w:val="yellow"/>
        </w:rPr>
        <w:t xml:space="preserve">and </w:t>
      </w:r>
      <w:hyperlink r:id="rId13" w:history="1">
        <w:r w:rsidRPr="00731D5A">
          <w:rPr>
            <w:rStyle w:val="Hyperlink"/>
            <w:rFonts w:ascii="Noto Sans" w:hAnsi="Noto Sans" w:cs="Noto Sans"/>
            <w:color w:val="auto"/>
            <w:highlight w:val="yellow"/>
          </w:rPr>
          <w:t>Infrastructure Australia’s Assessment Framework</w:t>
        </w:r>
      </w:hyperlink>
      <w:r w:rsidRPr="00731D5A">
        <w:rPr>
          <w:rFonts w:ascii="Noto Sans" w:hAnsi="Noto Sans" w:cs="Noto Sans"/>
          <w:color w:val="auto"/>
          <w:highlight w:val="yellow"/>
        </w:rPr>
        <w:t xml:space="preserve"> </w:t>
      </w:r>
      <w:r w:rsidRPr="00731D5A">
        <w:rPr>
          <w:rFonts w:ascii="Noto Sans" w:hAnsi="Noto Sans" w:cs="Noto Sans"/>
          <w:color w:val="auto"/>
          <w:highlight w:val="cyan"/>
        </w:rPr>
        <w:t>(for projects that will be submitted to Infrastructure Australia).</w:t>
      </w:r>
    </w:p>
    <w:p w14:paraId="5713EFB5" w14:textId="77777777" w:rsidR="00B631D6" w:rsidRPr="00731D5A" w:rsidRDefault="00B631D6" w:rsidP="00B631D6">
      <w:pPr>
        <w:pStyle w:val="BodyText"/>
        <w:rPr>
          <w:rFonts w:ascii="Noto Sans" w:hAnsi="Noto Sans" w:cs="Noto Sans"/>
          <w:color w:val="auto"/>
        </w:rPr>
      </w:pPr>
      <w:r w:rsidRPr="00731D5A">
        <w:rPr>
          <w:rFonts w:ascii="Noto Sans" w:hAnsi="Noto Sans" w:cs="Noto Sans"/>
          <w:color w:val="auto"/>
          <w:highlight w:val="yellow"/>
        </w:rPr>
        <w:t>&lt;&lt;Insert details of any other relevant agency frameworks for options analysis &gt;&gt;.</w:t>
      </w:r>
    </w:p>
    <w:p w14:paraId="32DFE9F7" w14:textId="77777777" w:rsidR="00B631D6" w:rsidRPr="00731D5A" w:rsidRDefault="00B631D6" w:rsidP="00B631D6">
      <w:pPr>
        <w:pStyle w:val="BodyText"/>
        <w:rPr>
          <w:rFonts w:ascii="Noto Sans" w:hAnsi="Noto Sans" w:cs="Noto Sans"/>
          <w:color w:val="auto"/>
        </w:rPr>
      </w:pPr>
      <w:r w:rsidRPr="00731D5A">
        <w:rPr>
          <w:rFonts w:ascii="Noto Sans" w:hAnsi="Noto Sans" w:cs="Noto Sans"/>
          <w:color w:val="auto"/>
        </w:rPr>
        <w:t>The advisor will be required to undertake services including but not limited to the advice and tasks outlined in this scope of services and any attachments.</w:t>
      </w:r>
    </w:p>
    <w:p w14:paraId="7418A469" w14:textId="77777777" w:rsidR="003C632B" w:rsidRPr="003C632B" w:rsidRDefault="003C632B" w:rsidP="000F55BA">
      <w:pPr>
        <w:pStyle w:val="Heading2"/>
        <w:numPr>
          <w:ilvl w:val="1"/>
          <w:numId w:val="42"/>
        </w:numPr>
        <w:rPr>
          <w:rFonts w:eastAsia="Times New Roman"/>
        </w:rPr>
      </w:pPr>
      <w:r w:rsidRPr="003C632B">
        <w:rPr>
          <w:rFonts w:eastAsia="Times New Roman"/>
        </w:rPr>
        <w:t>Background</w:t>
      </w:r>
    </w:p>
    <w:p w14:paraId="48CA835B" w14:textId="77777777" w:rsidR="00872EE3" w:rsidRPr="009B4C32" w:rsidRDefault="00872EE3" w:rsidP="00872EE3">
      <w:pPr>
        <w:pStyle w:val="BodyText"/>
        <w:rPr>
          <w:rFonts w:ascii="Noto Sans" w:hAnsi="Noto Sans" w:cs="Noto Sans"/>
          <w:color w:val="auto"/>
        </w:rPr>
      </w:pPr>
      <w:r w:rsidRPr="009B4C32">
        <w:rPr>
          <w:rFonts w:ascii="Noto Sans" w:hAnsi="Noto Sans" w:cs="Noto Sans"/>
          <w:color w:val="auto"/>
        </w:rPr>
        <w:t>There are four key milestones within the scope of the peer review for the Project. These are reflected below:</w:t>
      </w:r>
    </w:p>
    <w:p w14:paraId="1C1E2176" w14:textId="77777777" w:rsidR="00872EE3" w:rsidRPr="009B4C32" w:rsidRDefault="00872EE3" w:rsidP="00A25384">
      <w:pPr>
        <w:pStyle w:val="ListBullet"/>
        <w:numPr>
          <w:ilvl w:val="0"/>
          <w:numId w:val="10"/>
        </w:numPr>
        <w:spacing w:before="120" w:after="120" w:line="264" w:lineRule="auto"/>
        <w:rPr>
          <w:rFonts w:ascii="Noto Sans" w:hAnsi="Noto Sans" w:cs="Noto Sans"/>
          <w:b/>
          <w:bCs/>
          <w:color w:val="auto"/>
        </w:rPr>
      </w:pPr>
      <w:r w:rsidRPr="009B4C32">
        <w:rPr>
          <w:rFonts w:ascii="Noto Sans" w:hAnsi="Noto Sans" w:cs="Noto Sans"/>
          <w:b/>
          <w:bCs/>
          <w:color w:val="auto"/>
        </w:rPr>
        <w:t>One</w:t>
      </w:r>
      <w:r w:rsidRPr="009B4C32">
        <w:rPr>
          <w:rFonts w:ascii="Noto Sans" w:hAnsi="Noto Sans" w:cs="Noto Sans"/>
          <w:color w:val="auto"/>
        </w:rPr>
        <w:t xml:space="preserve"> – Attend an initiation workshop between the relevant advisor(s), </w:t>
      </w:r>
      <w:r w:rsidRPr="009B4C32">
        <w:rPr>
          <w:rFonts w:ascii="Noto Sans" w:hAnsi="Noto Sans" w:cs="Noto Sans"/>
          <w:color w:val="auto"/>
          <w:highlight w:val="yellow"/>
        </w:rPr>
        <w:t>&lt;&lt;Owner Agency Name&gt;&gt;</w:t>
      </w:r>
      <w:r w:rsidRPr="009B4C32">
        <w:rPr>
          <w:rFonts w:ascii="Noto Sans" w:hAnsi="Noto Sans" w:cs="Noto Sans"/>
          <w:color w:val="auto"/>
        </w:rPr>
        <w:t xml:space="preserve"> and the Financial and Commercial Peer Reviewer to agree the timing of information exchange, draft reports and </w:t>
      </w:r>
      <w:r w:rsidRPr="009B4C32">
        <w:rPr>
          <w:rFonts w:ascii="Noto Sans" w:hAnsi="Noto Sans" w:cs="Noto Sans"/>
          <w:b/>
          <w:bCs/>
          <w:color w:val="auto"/>
        </w:rPr>
        <w:t>final reports.</w:t>
      </w:r>
    </w:p>
    <w:p w14:paraId="4AF678D1" w14:textId="77777777" w:rsidR="00872EE3" w:rsidRPr="009B4C32" w:rsidRDefault="00872EE3" w:rsidP="00A25384">
      <w:pPr>
        <w:pStyle w:val="ListBullet"/>
        <w:numPr>
          <w:ilvl w:val="0"/>
          <w:numId w:val="10"/>
        </w:numPr>
        <w:spacing w:before="120" w:after="120" w:line="264" w:lineRule="auto"/>
        <w:rPr>
          <w:rFonts w:ascii="Noto Sans" w:hAnsi="Noto Sans" w:cs="Noto Sans"/>
          <w:color w:val="auto"/>
        </w:rPr>
      </w:pPr>
      <w:r w:rsidRPr="009B4C32">
        <w:rPr>
          <w:rFonts w:ascii="Noto Sans" w:hAnsi="Noto Sans" w:cs="Noto Sans"/>
          <w:b/>
          <w:bCs/>
          <w:color w:val="auto"/>
        </w:rPr>
        <w:t xml:space="preserve">Two </w:t>
      </w:r>
      <w:r w:rsidRPr="009B4C32">
        <w:rPr>
          <w:rFonts w:ascii="Noto Sans" w:hAnsi="Noto Sans" w:cs="Noto Sans"/>
          <w:color w:val="auto"/>
        </w:rPr>
        <w:t xml:space="preserve">– Issue a draft report based on review of the advisor’s’ methodology, assumptions and constraints and the advisors’ overall approach. </w:t>
      </w:r>
    </w:p>
    <w:p w14:paraId="6C85D8AB" w14:textId="77777777" w:rsidR="00872EE3" w:rsidRPr="009B4C32" w:rsidRDefault="00872EE3" w:rsidP="00A25384">
      <w:pPr>
        <w:pStyle w:val="ListBullet"/>
        <w:numPr>
          <w:ilvl w:val="0"/>
          <w:numId w:val="10"/>
        </w:numPr>
        <w:spacing w:before="120" w:after="120" w:line="264" w:lineRule="auto"/>
        <w:rPr>
          <w:rFonts w:ascii="Noto Sans" w:hAnsi="Noto Sans" w:cs="Noto Sans"/>
          <w:color w:val="auto"/>
        </w:rPr>
      </w:pPr>
      <w:r w:rsidRPr="009B4C32">
        <w:rPr>
          <w:rFonts w:ascii="Noto Sans" w:hAnsi="Noto Sans" w:cs="Noto Sans"/>
          <w:b/>
          <w:bCs/>
          <w:color w:val="auto"/>
        </w:rPr>
        <w:t xml:space="preserve">Three </w:t>
      </w:r>
      <w:r w:rsidRPr="009B4C32">
        <w:rPr>
          <w:rFonts w:ascii="Noto Sans" w:hAnsi="Noto Sans" w:cs="Noto Sans"/>
          <w:color w:val="auto"/>
        </w:rPr>
        <w:t>– Issue a draft report on the advisor’s analysis.</w:t>
      </w:r>
    </w:p>
    <w:p w14:paraId="65D603CB" w14:textId="77777777" w:rsidR="00872EE3" w:rsidRPr="009B4C32" w:rsidRDefault="00872EE3" w:rsidP="00A25384">
      <w:pPr>
        <w:pStyle w:val="ListBullet"/>
        <w:numPr>
          <w:ilvl w:val="0"/>
          <w:numId w:val="10"/>
        </w:numPr>
        <w:spacing w:before="120" w:after="120" w:line="264" w:lineRule="auto"/>
        <w:rPr>
          <w:rFonts w:ascii="Noto Sans" w:hAnsi="Noto Sans" w:cs="Noto Sans"/>
          <w:color w:val="auto"/>
        </w:rPr>
      </w:pPr>
      <w:r w:rsidRPr="009B4C32">
        <w:rPr>
          <w:rFonts w:ascii="Noto Sans" w:hAnsi="Noto Sans" w:cs="Noto Sans"/>
          <w:b/>
          <w:bCs/>
          <w:color w:val="auto"/>
        </w:rPr>
        <w:t>Four</w:t>
      </w:r>
      <w:r w:rsidRPr="009B4C32">
        <w:rPr>
          <w:rFonts w:ascii="Noto Sans" w:hAnsi="Noto Sans" w:cs="Noto Sans"/>
          <w:color w:val="auto"/>
        </w:rPr>
        <w:t xml:space="preserve"> – Issue a final report on the advisor’s analysis and, if required, attendance by the Financial and Commercial Peer Reviewer at the </w:t>
      </w:r>
      <w:r w:rsidRPr="00737219">
        <w:rPr>
          <w:rFonts w:ascii="Noto Sans" w:hAnsi="Noto Sans" w:cs="Noto Sans"/>
          <w:color w:val="auto"/>
          <w:highlight w:val="yellow"/>
        </w:rPr>
        <w:t>&lt;&lt;Project Name&gt;&gt; Project Steering Committee (PSC)</w:t>
      </w:r>
      <w:r w:rsidRPr="009B4C32">
        <w:rPr>
          <w:rFonts w:ascii="Noto Sans" w:hAnsi="Noto Sans" w:cs="Noto Sans"/>
          <w:color w:val="auto"/>
        </w:rPr>
        <w:t xml:space="preserve"> meeting to present findings of peer review.</w:t>
      </w:r>
    </w:p>
    <w:p w14:paraId="5E5C5D55" w14:textId="77777777" w:rsidR="00872EE3" w:rsidRPr="009B4C32" w:rsidRDefault="00872EE3" w:rsidP="00872EE3">
      <w:pPr>
        <w:pStyle w:val="BodyText"/>
        <w:rPr>
          <w:rFonts w:ascii="Noto Sans" w:hAnsi="Noto Sans" w:cs="Noto Sans"/>
          <w:color w:val="auto"/>
        </w:rPr>
      </w:pPr>
      <w:r w:rsidRPr="009B4C32">
        <w:rPr>
          <w:rFonts w:ascii="Noto Sans" w:hAnsi="Noto Sans" w:cs="Noto Sans"/>
          <w:color w:val="auto"/>
        </w:rPr>
        <w:t xml:space="preserve">Peer reviewer’s feedback to the Project team is to be categorised in one of the three areas below: </w:t>
      </w:r>
    </w:p>
    <w:p w14:paraId="187576E0" w14:textId="77777777" w:rsidR="00872EE3" w:rsidRPr="009B4C32" w:rsidRDefault="00872EE3" w:rsidP="00A25384">
      <w:pPr>
        <w:pStyle w:val="BodyText"/>
        <w:numPr>
          <w:ilvl w:val="0"/>
          <w:numId w:val="9"/>
        </w:numPr>
        <w:rPr>
          <w:rFonts w:ascii="Noto Sans" w:hAnsi="Noto Sans" w:cs="Noto Sans"/>
          <w:color w:val="auto"/>
        </w:rPr>
      </w:pPr>
      <w:r w:rsidRPr="009B4C32">
        <w:rPr>
          <w:rFonts w:ascii="Noto Sans" w:hAnsi="Noto Sans" w:cs="Noto Sans"/>
          <w:color w:val="auto"/>
        </w:rPr>
        <w:t>Comment only</w:t>
      </w:r>
    </w:p>
    <w:p w14:paraId="6D5E1F8D" w14:textId="77777777" w:rsidR="00872EE3" w:rsidRPr="009B4C32" w:rsidRDefault="00872EE3" w:rsidP="00A25384">
      <w:pPr>
        <w:pStyle w:val="BodyText"/>
        <w:numPr>
          <w:ilvl w:val="0"/>
          <w:numId w:val="9"/>
        </w:numPr>
        <w:rPr>
          <w:rFonts w:ascii="Noto Sans" w:hAnsi="Noto Sans" w:cs="Noto Sans"/>
          <w:color w:val="auto"/>
        </w:rPr>
      </w:pPr>
      <w:r w:rsidRPr="009B4C32">
        <w:rPr>
          <w:rFonts w:ascii="Noto Sans" w:hAnsi="Noto Sans" w:cs="Noto Sans"/>
          <w:color w:val="auto"/>
        </w:rPr>
        <w:t>Minor issue</w:t>
      </w:r>
    </w:p>
    <w:p w14:paraId="4EED5C8F" w14:textId="77777777" w:rsidR="00872EE3" w:rsidRPr="009B4C32" w:rsidRDefault="00872EE3" w:rsidP="00A25384">
      <w:pPr>
        <w:pStyle w:val="BodyText"/>
        <w:numPr>
          <w:ilvl w:val="0"/>
          <w:numId w:val="9"/>
        </w:numPr>
        <w:rPr>
          <w:rFonts w:ascii="Noto Sans" w:hAnsi="Noto Sans" w:cs="Noto Sans"/>
          <w:color w:val="auto"/>
        </w:rPr>
      </w:pPr>
      <w:r w:rsidRPr="009B4C32">
        <w:rPr>
          <w:rFonts w:ascii="Noto Sans" w:hAnsi="Noto Sans" w:cs="Noto Sans"/>
          <w:color w:val="auto"/>
        </w:rPr>
        <w:lastRenderedPageBreak/>
        <w:t xml:space="preserve">Significant issue. </w:t>
      </w:r>
    </w:p>
    <w:p w14:paraId="6A7DF847" w14:textId="1A1E9522" w:rsidR="003C632B" w:rsidRDefault="003C632B" w:rsidP="000F55BA">
      <w:pPr>
        <w:pStyle w:val="Heading1"/>
        <w:numPr>
          <w:ilvl w:val="0"/>
          <w:numId w:val="42"/>
        </w:numPr>
      </w:pPr>
      <w:r w:rsidRPr="003C632B">
        <w:t xml:space="preserve">Key </w:t>
      </w:r>
      <w:r w:rsidR="000B1811">
        <w:t>a</w:t>
      </w:r>
      <w:r w:rsidRPr="003C632B">
        <w:t xml:space="preserve">ctivities and </w:t>
      </w:r>
      <w:r w:rsidR="000B1811">
        <w:t>d</w:t>
      </w:r>
      <w:r w:rsidRPr="003C632B">
        <w:t>eliverables</w:t>
      </w:r>
    </w:p>
    <w:p w14:paraId="02342416" w14:textId="5DBB360D" w:rsidR="002710E9" w:rsidRDefault="002710E9" w:rsidP="000F55BA">
      <w:pPr>
        <w:pStyle w:val="Heading2"/>
        <w:numPr>
          <w:ilvl w:val="1"/>
          <w:numId w:val="42"/>
        </w:numPr>
        <w:rPr>
          <w:lang w:val="en-GB"/>
        </w:rPr>
      </w:pPr>
      <w:r>
        <w:rPr>
          <w:lang w:val="en-GB"/>
        </w:rPr>
        <w:t xml:space="preserve">Initiation </w:t>
      </w:r>
      <w:r w:rsidR="000B1811">
        <w:rPr>
          <w:lang w:val="en-GB"/>
        </w:rPr>
        <w:t>p</w:t>
      </w:r>
      <w:r>
        <w:rPr>
          <w:lang w:val="en-GB"/>
        </w:rPr>
        <w:t xml:space="preserve">hase </w:t>
      </w:r>
      <w:r w:rsidR="000B1811">
        <w:rPr>
          <w:lang w:val="en-GB"/>
        </w:rPr>
        <w:t>k</w:t>
      </w:r>
      <w:r>
        <w:rPr>
          <w:lang w:val="en-GB"/>
        </w:rPr>
        <w:t xml:space="preserve">ey </w:t>
      </w:r>
      <w:r w:rsidR="000B1811">
        <w:rPr>
          <w:lang w:val="en-GB"/>
        </w:rPr>
        <w:t>a</w:t>
      </w:r>
      <w:r>
        <w:rPr>
          <w:lang w:val="en-GB"/>
        </w:rPr>
        <w:t xml:space="preserve">ctivities and </w:t>
      </w:r>
      <w:r w:rsidR="000B1811">
        <w:rPr>
          <w:lang w:val="en-GB"/>
        </w:rPr>
        <w:t>d</w:t>
      </w:r>
      <w:r>
        <w:rPr>
          <w:lang w:val="en-GB"/>
        </w:rPr>
        <w:t xml:space="preserve">eliverables </w:t>
      </w:r>
    </w:p>
    <w:p w14:paraId="68C66B34" w14:textId="77777777" w:rsidR="00435AC1" w:rsidRPr="00435AC1" w:rsidRDefault="00435AC1" w:rsidP="00435AC1">
      <w:r w:rsidRPr="00435AC1">
        <w:t>The table below outlines the key activities and deliverables associated with the delivery phase of the detailed business case.</w:t>
      </w:r>
    </w:p>
    <w:p w14:paraId="1F0BA407" w14:textId="1C94C8C5" w:rsidR="00435AC1" w:rsidRPr="00435AC1" w:rsidRDefault="00435AC1" w:rsidP="00435AC1">
      <w:pPr>
        <w:rPr>
          <w:b/>
          <w:bCs/>
        </w:rPr>
      </w:pPr>
      <w:r w:rsidRPr="00435AC1">
        <w:rPr>
          <w:b/>
          <w:bCs/>
        </w:rPr>
        <w:t xml:space="preserve">Table </w:t>
      </w:r>
      <w:r w:rsidRPr="00435AC1">
        <w:rPr>
          <w:b/>
        </w:rPr>
        <w:fldChar w:fldCharType="begin"/>
      </w:r>
      <w:r w:rsidRPr="00435AC1">
        <w:rPr>
          <w:b/>
          <w:bCs/>
        </w:rPr>
        <w:instrText xml:space="preserve"> SEQ Table \* ARABIC </w:instrText>
      </w:r>
      <w:r w:rsidRPr="00435AC1">
        <w:rPr>
          <w:b/>
        </w:rPr>
        <w:fldChar w:fldCharType="separate"/>
      </w:r>
      <w:r w:rsidRPr="00435AC1">
        <w:rPr>
          <w:b/>
          <w:bCs/>
        </w:rPr>
        <w:t>1</w:t>
      </w:r>
      <w:r w:rsidRPr="00435AC1">
        <w:fldChar w:fldCharType="end"/>
      </w:r>
      <w:r w:rsidRPr="00435AC1">
        <w:rPr>
          <w:b/>
          <w:bCs/>
        </w:rPr>
        <w:t xml:space="preserve">: Delivery </w:t>
      </w:r>
      <w:r w:rsidR="000B1811">
        <w:rPr>
          <w:b/>
          <w:bCs/>
        </w:rPr>
        <w:t>p</w:t>
      </w:r>
      <w:r w:rsidRPr="00435AC1">
        <w:rPr>
          <w:b/>
          <w:bCs/>
        </w:rPr>
        <w:t xml:space="preserve">hase </w:t>
      </w:r>
      <w:r w:rsidR="000B1811">
        <w:rPr>
          <w:b/>
          <w:bCs/>
        </w:rPr>
        <w:t>k</w:t>
      </w:r>
      <w:r w:rsidRPr="00435AC1">
        <w:rPr>
          <w:b/>
          <w:bCs/>
        </w:rPr>
        <w:t xml:space="preserve">ey </w:t>
      </w:r>
      <w:r w:rsidR="000B1811">
        <w:rPr>
          <w:b/>
          <w:bCs/>
        </w:rPr>
        <w:t>a</w:t>
      </w:r>
      <w:r w:rsidRPr="00435AC1">
        <w:rPr>
          <w:b/>
          <w:bCs/>
        </w:rPr>
        <w:t xml:space="preserve">ctivities and </w:t>
      </w:r>
      <w:r w:rsidR="000B1811">
        <w:rPr>
          <w:b/>
          <w:bCs/>
        </w:rPr>
        <w:t>d</w:t>
      </w:r>
      <w:r w:rsidRPr="00435AC1">
        <w:rPr>
          <w:b/>
          <w:bCs/>
        </w:rPr>
        <w:t xml:space="preserve">eliverables </w:t>
      </w:r>
    </w:p>
    <w:tbl>
      <w:tblPr>
        <w:tblStyle w:val="Table-QldBlue"/>
        <w:tblW w:w="10375" w:type="dxa"/>
        <w:tblLayout w:type="fixed"/>
        <w:tblLook w:val="0620" w:firstRow="1" w:lastRow="0" w:firstColumn="0" w:lastColumn="0" w:noHBand="1" w:noVBand="1"/>
      </w:tblPr>
      <w:tblGrid>
        <w:gridCol w:w="2115"/>
        <w:gridCol w:w="4801"/>
        <w:gridCol w:w="3459"/>
      </w:tblGrid>
      <w:tr w:rsidR="00435AC1" w:rsidRPr="00435AC1" w14:paraId="2065AF68" w14:textId="77777777" w:rsidTr="6DF55AB1">
        <w:trPr>
          <w:cnfStyle w:val="100000000000" w:firstRow="1" w:lastRow="0" w:firstColumn="0" w:lastColumn="0" w:oddVBand="0" w:evenVBand="0" w:oddHBand="0" w:evenHBand="0" w:firstRowFirstColumn="0" w:firstRowLastColumn="0" w:lastRowFirstColumn="0" w:lastRowLastColumn="0"/>
        </w:trPr>
        <w:tc>
          <w:tcPr>
            <w:tcW w:w="2115" w:type="dxa"/>
            <w:hideMark/>
          </w:tcPr>
          <w:p w14:paraId="1CA056DE" w14:textId="3B2E5204" w:rsidR="00435AC1" w:rsidRPr="00435AC1" w:rsidRDefault="003E4E08" w:rsidP="00435AC1">
            <w:bookmarkStart w:id="0" w:name="_Hlk117082441"/>
            <w:r>
              <w:t>P</w:t>
            </w:r>
            <w:r w:rsidR="2B9C968E">
              <w:t xml:space="preserve">roposal </w:t>
            </w:r>
            <w:r w:rsidR="000B1811">
              <w:t>d</w:t>
            </w:r>
            <w:r w:rsidR="2B9C968E">
              <w:t xml:space="preserve">evelopment </w:t>
            </w:r>
            <w:r w:rsidR="000B1811">
              <w:t>p</w:t>
            </w:r>
            <w:r w:rsidR="2B9C968E">
              <w:t>hase</w:t>
            </w:r>
          </w:p>
        </w:tc>
        <w:tc>
          <w:tcPr>
            <w:tcW w:w="4801" w:type="dxa"/>
            <w:hideMark/>
          </w:tcPr>
          <w:p w14:paraId="4E315093" w14:textId="430CB96A" w:rsidR="00435AC1" w:rsidRPr="00435AC1" w:rsidRDefault="003E4E08" w:rsidP="00435AC1">
            <w:r>
              <w:t>K</w:t>
            </w:r>
            <w:r w:rsidR="3EC5CEB1">
              <w:t xml:space="preserve">ey </w:t>
            </w:r>
            <w:r w:rsidR="000B1811">
              <w:t>a</w:t>
            </w:r>
            <w:r w:rsidR="3EC5CEB1">
              <w:t>ctivities</w:t>
            </w:r>
          </w:p>
        </w:tc>
        <w:tc>
          <w:tcPr>
            <w:tcW w:w="3459" w:type="dxa"/>
            <w:hideMark/>
          </w:tcPr>
          <w:p w14:paraId="54ECEDA5" w14:textId="79AE78FC" w:rsidR="00435AC1" w:rsidRPr="00435AC1" w:rsidRDefault="3EC5CEB1" w:rsidP="6DF55AB1">
            <w:pPr>
              <w:spacing w:line="259" w:lineRule="auto"/>
            </w:pPr>
            <w:r>
              <w:t>Deliverables</w:t>
            </w:r>
          </w:p>
        </w:tc>
      </w:tr>
      <w:tr w:rsidR="00435AC1" w:rsidRPr="00435AC1" w14:paraId="36FD705E" w14:textId="77777777" w:rsidTr="6DF55AB1">
        <w:tc>
          <w:tcPr>
            <w:tcW w:w="2115" w:type="dxa"/>
            <w:shd w:val="clear" w:color="auto" w:fill="E6E6E6"/>
            <w:hideMark/>
          </w:tcPr>
          <w:p w14:paraId="7806E1CC" w14:textId="77777777" w:rsidR="00435AC1" w:rsidRPr="00435AC1" w:rsidRDefault="00435AC1" w:rsidP="00435AC1">
            <w:pPr>
              <w:rPr>
                <w:b/>
                <w:bCs/>
              </w:rPr>
            </w:pPr>
            <w:r w:rsidRPr="00435AC1">
              <w:rPr>
                <w:b/>
                <w:bCs/>
              </w:rPr>
              <w:t>A. Methodology</w:t>
            </w:r>
          </w:p>
        </w:tc>
        <w:tc>
          <w:tcPr>
            <w:tcW w:w="4801" w:type="dxa"/>
          </w:tcPr>
          <w:p w14:paraId="3B115814" w14:textId="77777777" w:rsidR="00435AC1" w:rsidRPr="00435AC1" w:rsidRDefault="00435AC1" w:rsidP="00435AC1">
            <w:r w:rsidRPr="00435AC1">
              <w:t xml:space="preserve">Review and provide written advice on the reasonableness of the overall methodology for: </w:t>
            </w:r>
          </w:p>
          <w:p w14:paraId="236CD29B" w14:textId="77777777" w:rsidR="00435AC1" w:rsidRPr="00435AC1" w:rsidRDefault="00435AC1" w:rsidP="00A25384">
            <w:pPr>
              <w:numPr>
                <w:ilvl w:val="0"/>
                <w:numId w:val="11"/>
              </w:numPr>
            </w:pPr>
            <w:r w:rsidRPr="00435AC1">
              <w:t>budget analysis (including P50/P90 risk adjustments)</w:t>
            </w:r>
          </w:p>
          <w:p w14:paraId="20D847E5" w14:textId="77777777" w:rsidR="00435AC1" w:rsidRPr="00435AC1" w:rsidRDefault="00435AC1" w:rsidP="00A25384">
            <w:pPr>
              <w:numPr>
                <w:ilvl w:val="0"/>
                <w:numId w:val="11"/>
              </w:numPr>
            </w:pPr>
            <w:r w:rsidRPr="00435AC1">
              <w:t>financial analysis</w:t>
            </w:r>
          </w:p>
          <w:p w14:paraId="244AEFE3" w14:textId="77777777" w:rsidR="00435AC1" w:rsidRPr="00435AC1" w:rsidRDefault="00435AC1" w:rsidP="00A25384">
            <w:pPr>
              <w:numPr>
                <w:ilvl w:val="0"/>
                <w:numId w:val="11"/>
              </w:numPr>
            </w:pPr>
            <w:r w:rsidRPr="00435AC1">
              <w:t>financial model</w:t>
            </w:r>
          </w:p>
          <w:p w14:paraId="69E1AD2E" w14:textId="77777777" w:rsidR="00435AC1" w:rsidRPr="00435AC1" w:rsidRDefault="00435AC1" w:rsidP="00A25384">
            <w:pPr>
              <w:numPr>
                <w:ilvl w:val="0"/>
                <w:numId w:val="11"/>
              </w:numPr>
            </w:pPr>
            <w:r w:rsidRPr="00435AC1">
              <w:t>(if needed) commercial analysis</w:t>
            </w:r>
          </w:p>
          <w:p w14:paraId="11BDB620" w14:textId="77777777" w:rsidR="00435AC1" w:rsidRPr="00435AC1" w:rsidRDefault="00435AC1" w:rsidP="00A25384">
            <w:pPr>
              <w:numPr>
                <w:ilvl w:val="0"/>
                <w:numId w:val="11"/>
              </w:numPr>
            </w:pPr>
            <w:r w:rsidRPr="00435AC1">
              <w:t xml:space="preserve">market sounding analysis </w:t>
            </w:r>
          </w:p>
          <w:p w14:paraId="36009921" w14:textId="77777777" w:rsidR="00435AC1" w:rsidRPr="00435AC1" w:rsidRDefault="00435AC1" w:rsidP="00A25384">
            <w:pPr>
              <w:numPr>
                <w:ilvl w:val="0"/>
                <w:numId w:val="11"/>
              </w:numPr>
            </w:pPr>
            <w:r w:rsidRPr="00435AC1">
              <w:t>delivery model analysis and</w:t>
            </w:r>
          </w:p>
          <w:p w14:paraId="141E2C16" w14:textId="4614513A" w:rsidR="00435AC1" w:rsidRPr="00541179" w:rsidRDefault="00435AC1" w:rsidP="00435AC1">
            <w:pPr>
              <w:numPr>
                <w:ilvl w:val="0"/>
                <w:numId w:val="11"/>
              </w:numPr>
            </w:pPr>
            <w:r w:rsidRPr="00435AC1">
              <w:t xml:space="preserve">affordability analysis. </w:t>
            </w:r>
          </w:p>
        </w:tc>
        <w:tc>
          <w:tcPr>
            <w:tcW w:w="3459" w:type="dxa"/>
            <w:hideMark/>
          </w:tcPr>
          <w:p w14:paraId="648E025C" w14:textId="77777777" w:rsidR="00435AC1" w:rsidRPr="00435AC1" w:rsidRDefault="00435AC1" w:rsidP="00A25384">
            <w:pPr>
              <w:numPr>
                <w:ilvl w:val="0"/>
                <w:numId w:val="8"/>
              </w:numPr>
            </w:pPr>
            <w:r w:rsidRPr="00435AC1">
              <w:t>Provide written advice on the proposed methodology.</w:t>
            </w:r>
          </w:p>
        </w:tc>
      </w:tr>
      <w:tr w:rsidR="00435AC1" w:rsidRPr="00435AC1" w14:paraId="69183BC7" w14:textId="77777777" w:rsidTr="6DF55AB1">
        <w:tc>
          <w:tcPr>
            <w:tcW w:w="2115" w:type="dxa"/>
            <w:shd w:val="clear" w:color="auto" w:fill="E6E6E6"/>
            <w:hideMark/>
          </w:tcPr>
          <w:p w14:paraId="33CCA409" w14:textId="77777777" w:rsidR="00435AC1" w:rsidRPr="00435AC1" w:rsidRDefault="00435AC1" w:rsidP="00435AC1">
            <w:pPr>
              <w:rPr>
                <w:b/>
                <w:bCs/>
              </w:rPr>
            </w:pPr>
            <w:r w:rsidRPr="00435AC1">
              <w:rPr>
                <w:b/>
                <w:bCs/>
              </w:rPr>
              <w:t xml:space="preserve">B. Outputs </w:t>
            </w:r>
          </w:p>
        </w:tc>
        <w:tc>
          <w:tcPr>
            <w:tcW w:w="4801" w:type="dxa"/>
            <w:hideMark/>
          </w:tcPr>
          <w:p w14:paraId="4CBDB799" w14:textId="77777777" w:rsidR="00435AC1" w:rsidRPr="00435AC1" w:rsidRDefault="00435AC1" w:rsidP="00435AC1">
            <w:r w:rsidRPr="00435AC1">
              <w:t xml:space="preserve">Review and provide specific written advice on: </w:t>
            </w:r>
          </w:p>
          <w:p w14:paraId="2539499E" w14:textId="77777777" w:rsidR="00435AC1" w:rsidRPr="00435AC1" w:rsidRDefault="00435AC1" w:rsidP="00A25384">
            <w:pPr>
              <w:numPr>
                <w:ilvl w:val="0"/>
                <w:numId w:val="12"/>
              </w:numPr>
            </w:pPr>
            <w:r w:rsidRPr="00435AC1">
              <w:t>budget analysis (including P50/P90 risk adjustments), financial model and affordability analysis:</w:t>
            </w:r>
          </w:p>
          <w:p w14:paraId="21C9EE7E" w14:textId="77777777" w:rsidR="00435AC1" w:rsidRPr="00435AC1" w:rsidRDefault="00435AC1" w:rsidP="00A25384">
            <w:pPr>
              <w:numPr>
                <w:ilvl w:val="1"/>
                <w:numId w:val="12"/>
              </w:numPr>
            </w:pPr>
            <w:r w:rsidRPr="00435AC1">
              <w:t>the appropriateness of the proposed assumptions.</w:t>
            </w:r>
          </w:p>
          <w:p w14:paraId="5ACF252C" w14:textId="77777777" w:rsidR="00435AC1" w:rsidRPr="00435AC1" w:rsidRDefault="00435AC1" w:rsidP="00A25384">
            <w:pPr>
              <w:numPr>
                <w:ilvl w:val="1"/>
                <w:numId w:val="12"/>
              </w:numPr>
            </w:pPr>
            <w:r w:rsidRPr="00435AC1">
              <w:t>key inputs, data sources, model design and rationale</w:t>
            </w:r>
          </w:p>
          <w:p w14:paraId="57D1FB2D" w14:textId="77777777" w:rsidR="00435AC1" w:rsidRPr="00435AC1" w:rsidRDefault="00435AC1" w:rsidP="00A25384">
            <w:pPr>
              <w:numPr>
                <w:ilvl w:val="1"/>
                <w:numId w:val="12"/>
              </w:numPr>
            </w:pPr>
            <w:r w:rsidRPr="00435AC1">
              <w:t>model structure, calculation accuracy and model outputs; and</w:t>
            </w:r>
          </w:p>
          <w:p w14:paraId="2D9DC04B" w14:textId="77777777" w:rsidR="00435AC1" w:rsidRPr="00435AC1" w:rsidRDefault="00435AC1" w:rsidP="00A25384">
            <w:pPr>
              <w:numPr>
                <w:ilvl w:val="1"/>
                <w:numId w:val="12"/>
              </w:numPr>
            </w:pPr>
            <w:r w:rsidRPr="00435AC1">
              <w:t>variables selected for sensitivity analysis</w:t>
            </w:r>
          </w:p>
          <w:p w14:paraId="17E6DA03" w14:textId="77777777" w:rsidR="00435AC1" w:rsidRPr="00435AC1" w:rsidRDefault="00435AC1" w:rsidP="00A25384">
            <w:pPr>
              <w:numPr>
                <w:ilvl w:val="0"/>
                <w:numId w:val="12"/>
              </w:numPr>
            </w:pPr>
            <w:r w:rsidRPr="00435AC1">
              <w:t>(if needed) commercial analysis and its thoroughness</w:t>
            </w:r>
          </w:p>
          <w:p w14:paraId="0E4653A0" w14:textId="77777777" w:rsidR="00435AC1" w:rsidRPr="00435AC1" w:rsidRDefault="00435AC1" w:rsidP="00A25384">
            <w:pPr>
              <w:numPr>
                <w:ilvl w:val="0"/>
                <w:numId w:val="12"/>
              </w:numPr>
            </w:pPr>
            <w:r w:rsidRPr="00435AC1">
              <w:t xml:space="preserve">market sounding analysis: </w:t>
            </w:r>
          </w:p>
          <w:p w14:paraId="3B02CCE2" w14:textId="77777777" w:rsidR="00435AC1" w:rsidRPr="00435AC1" w:rsidRDefault="00435AC1" w:rsidP="00A25384">
            <w:pPr>
              <w:numPr>
                <w:ilvl w:val="1"/>
                <w:numId w:val="12"/>
              </w:numPr>
            </w:pPr>
            <w:r w:rsidRPr="00435AC1">
              <w:t>the appropriateness of the proposed participant briefing documentation, data sources, supplier feedback, participant lists, probity policies, procedures and consultation approaches (including interview questions)</w:t>
            </w:r>
          </w:p>
          <w:p w14:paraId="757AD6EF" w14:textId="77777777" w:rsidR="00435AC1" w:rsidRPr="00435AC1" w:rsidRDefault="00435AC1" w:rsidP="00A25384">
            <w:pPr>
              <w:numPr>
                <w:ilvl w:val="0"/>
                <w:numId w:val="12"/>
              </w:numPr>
            </w:pPr>
            <w:r w:rsidRPr="00435AC1">
              <w:t xml:space="preserve">delivery model analysis and outcomes </w:t>
            </w:r>
          </w:p>
          <w:p w14:paraId="0494910E" w14:textId="77777777" w:rsidR="00435AC1" w:rsidRPr="00435AC1" w:rsidRDefault="00435AC1" w:rsidP="00A25384">
            <w:pPr>
              <w:numPr>
                <w:ilvl w:val="0"/>
                <w:numId w:val="12"/>
              </w:numPr>
            </w:pPr>
            <w:r w:rsidRPr="00435AC1">
              <w:t>participate in the iterative process to resolve any issues identified in the peer review.</w:t>
            </w:r>
          </w:p>
          <w:p w14:paraId="528D6DDF" w14:textId="77777777" w:rsidR="00435AC1" w:rsidRPr="00435AC1" w:rsidRDefault="00435AC1" w:rsidP="00A25384">
            <w:pPr>
              <w:numPr>
                <w:ilvl w:val="0"/>
                <w:numId w:val="12"/>
              </w:numPr>
            </w:pPr>
            <w:r w:rsidRPr="00435AC1">
              <w:t xml:space="preserve">complete the Peer Review letter outlining a summary of peer review recommendations, as per template letter to the &lt;&lt;Project Name&gt;&gt; PSC/Executive Board (provided on contract award). </w:t>
            </w:r>
          </w:p>
        </w:tc>
        <w:tc>
          <w:tcPr>
            <w:tcW w:w="3459" w:type="dxa"/>
            <w:hideMark/>
          </w:tcPr>
          <w:p w14:paraId="16BCEF29" w14:textId="77777777" w:rsidR="00435AC1" w:rsidRPr="00435AC1" w:rsidRDefault="00435AC1" w:rsidP="00541179">
            <w:pPr>
              <w:numPr>
                <w:ilvl w:val="0"/>
                <w:numId w:val="8"/>
              </w:numPr>
            </w:pPr>
            <w:r w:rsidRPr="00435AC1">
              <w:t>Peer Review Report, including summary of conclusions from the peer review.</w:t>
            </w:r>
          </w:p>
          <w:p w14:paraId="692FC7FE" w14:textId="77777777" w:rsidR="00435AC1" w:rsidRPr="00435AC1" w:rsidRDefault="00435AC1" w:rsidP="00541179">
            <w:pPr>
              <w:numPr>
                <w:ilvl w:val="0"/>
                <w:numId w:val="8"/>
              </w:numPr>
            </w:pPr>
            <w:r w:rsidRPr="00435AC1">
              <w:t>Letter to &lt;&lt;Project Name&gt;&gt; PSC/Executive Board, including summary of recommendations.</w:t>
            </w:r>
          </w:p>
        </w:tc>
        <w:bookmarkEnd w:id="0"/>
      </w:tr>
    </w:tbl>
    <w:p w14:paraId="7DA96728" w14:textId="5F6901FA" w:rsidR="00BB72E5" w:rsidRDefault="00BB72E5" w:rsidP="000F55BA">
      <w:pPr>
        <w:pStyle w:val="Heading2"/>
        <w:numPr>
          <w:ilvl w:val="1"/>
          <w:numId w:val="42"/>
        </w:numPr>
        <w:rPr>
          <w:lang w:val="en-GB"/>
        </w:rPr>
      </w:pPr>
      <w:r>
        <w:rPr>
          <w:lang w:val="en-GB"/>
        </w:rPr>
        <w:t xml:space="preserve">Proposal </w:t>
      </w:r>
      <w:r w:rsidR="000B1811">
        <w:rPr>
          <w:lang w:val="en-GB"/>
        </w:rPr>
        <w:t>d</w:t>
      </w:r>
      <w:r>
        <w:rPr>
          <w:lang w:val="en-GB"/>
        </w:rPr>
        <w:t xml:space="preserve">evelopment </w:t>
      </w:r>
      <w:r w:rsidR="000B1811">
        <w:rPr>
          <w:lang w:val="en-GB"/>
        </w:rPr>
        <w:t>p</w:t>
      </w:r>
      <w:r>
        <w:rPr>
          <w:lang w:val="en-GB"/>
        </w:rPr>
        <w:t xml:space="preserve">hase </w:t>
      </w:r>
      <w:r w:rsidR="000B1811">
        <w:rPr>
          <w:lang w:val="en-GB"/>
        </w:rPr>
        <w:t>a</w:t>
      </w:r>
      <w:r w:rsidR="004C62ED">
        <w:rPr>
          <w:lang w:val="en-GB"/>
        </w:rPr>
        <w:t>ctivities</w:t>
      </w:r>
      <w:r>
        <w:rPr>
          <w:lang w:val="en-GB"/>
        </w:rPr>
        <w:t xml:space="preserve"> and </w:t>
      </w:r>
      <w:r w:rsidR="000B1811">
        <w:rPr>
          <w:lang w:val="en-GB"/>
        </w:rPr>
        <w:t>d</w:t>
      </w:r>
      <w:r>
        <w:rPr>
          <w:lang w:val="en-GB"/>
        </w:rPr>
        <w:t xml:space="preserve">eliverables </w:t>
      </w:r>
    </w:p>
    <w:p w14:paraId="141C85DC" w14:textId="3485EED9" w:rsidR="004C62ED" w:rsidRPr="004C62ED" w:rsidRDefault="004C62ED" w:rsidP="004C62ED">
      <w:r>
        <w:rPr>
          <w:lang w:val="en-GB"/>
        </w:rPr>
        <w:t xml:space="preserve">Table 2 </w:t>
      </w:r>
      <w:r w:rsidRPr="004C62ED">
        <w:t>outlines the key activities and deliverables associated with the business case delivery phase.</w:t>
      </w:r>
    </w:p>
    <w:p w14:paraId="2547FD4C" w14:textId="6076ABAF" w:rsidR="004C62ED" w:rsidRPr="004C62ED" w:rsidRDefault="004C62ED" w:rsidP="004C62ED">
      <w:pPr>
        <w:rPr>
          <w:b/>
          <w:bCs/>
        </w:rPr>
      </w:pPr>
      <w:bookmarkStart w:id="1" w:name="_bookmark2"/>
      <w:bookmarkEnd w:id="1"/>
      <w:r w:rsidRPr="004C62ED">
        <w:rPr>
          <w:b/>
          <w:bCs/>
        </w:rPr>
        <w:t xml:space="preserve">Table 2: Business Case </w:t>
      </w:r>
      <w:r w:rsidR="000B1811">
        <w:rPr>
          <w:b/>
          <w:bCs/>
        </w:rPr>
        <w:t>d</w:t>
      </w:r>
      <w:r w:rsidRPr="004C62ED">
        <w:rPr>
          <w:b/>
          <w:bCs/>
        </w:rPr>
        <w:t xml:space="preserve">elivery </w:t>
      </w:r>
      <w:r w:rsidR="000B1811">
        <w:rPr>
          <w:b/>
          <w:bCs/>
        </w:rPr>
        <w:t>p</w:t>
      </w:r>
      <w:r w:rsidRPr="004C62ED">
        <w:rPr>
          <w:b/>
          <w:bCs/>
        </w:rPr>
        <w:t xml:space="preserve">hase </w:t>
      </w:r>
      <w:r w:rsidR="000B1811">
        <w:rPr>
          <w:b/>
          <w:bCs/>
        </w:rPr>
        <w:t>k</w:t>
      </w:r>
      <w:r w:rsidRPr="004C62ED">
        <w:rPr>
          <w:b/>
          <w:bCs/>
        </w:rPr>
        <w:t xml:space="preserve">ey </w:t>
      </w:r>
      <w:r w:rsidR="000B1811">
        <w:rPr>
          <w:b/>
          <w:bCs/>
        </w:rPr>
        <w:t>a</w:t>
      </w:r>
      <w:r w:rsidRPr="004C62ED">
        <w:rPr>
          <w:b/>
          <w:bCs/>
        </w:rPr>
        <w:t xml:space="preserve">ctivities and </w:t>
      </w:r>
      <w:r w:rsidR="000B1811">
        <w:rPr>
          <w:b/>
          <w:bCs/>
        </w:rPr>
        <w:t>d</w:t>
      </w:r>
      <w:r w:rsidRPr="004C62ED">
        <w:rPr>
          <w:b/>
          <w:bCs/>
        </w:rPr>
        <w:t>eliverables</w:t>
      </w:r>
    </w:p>
    <w:tbl>
      <w:tblPr>
        <w:tblStyle w:val="Table-QldBlue"/>
        <w:tblW w:w="5000" w:type="pct"/>
        <w:tblLayout w:type="fixed"/>
        <w:tblLook w:val="01E0" w:firstRow="1" w:lastRow="1" w:firstColumn="1" w:lastColumn="1" w:noHBand="0" w:noVBand="0"/>
      </w:tblPr>
      <w:tblGrid>
        <w:gridCol w:w="2122"/>
        <w:gridCol w:w="4819"/>
        <w:gridCol w:w="3539"/>
      </w:tblGrid>
      <w:tr w:rsidR="00CC4D5D" w:rsidRPr="004C62ED" w14:paraId="25F08067" w14:textId="77777777" w:rsidTr="00486F3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122" w:type="dxa"/>
            <w:hideMark/>
          </w:tcPr>
          <w:p w14:paraId="55CD252C" w14:textId="7E1D00A1" w:rsidR="00CC4D5D" w:rsidRPr="004C62ED" w:rsidRDefault="00CC4D5D" w:rsidP="00CC4D5D">
            <w:pPr>
              <w:rPr>
                <w:bCs/>
              </w:rPr>
            </w:pPr>
            <w:r w:rsidRPr="00435AC1">
              <w:t xml:space="preserve">Proposal </w:t>
            </w:r>
            <w:r w:rsidR="000B1811">
              <w:t>d</w:t>
            </w:r>
            <w:r w:rsidRPr="00435AC1">
              <w:t xml:space="preserve">evelopment </w:t>
            </w:r>
            <w:r w:rsidR="000B1811">
              <w:t>p</w:t>
            </w:r>
            <w:r w:rsidRPr="00435AC1">
              <w:t xml:space="preserve">hase </w:t>
            </w:r>
          </w:p>
        </w:tc>
        <w:tc>
          <w:tcPr>
            <w:tcW w:w="4819" w:type="dxa"/>
            <w:hideMark/>
          </w:tcPr>
          <w:p w14:paraId="3A17FDA6" w14:textId="38C4820B" w:rsidR="00CC4D5D" w:rsidRPr="004C62ED" w:rsidRDefault="00CC4D5D" w:rsidP="00CC4D5D">
            <w:pPr>
              <w:cnfStyle w:val="100000000000" w:firstRow="1" w:lastRow="0" w:firstColumn="0" w:lastColumn="0" w:oddVBand="0" w:evenVBand="0" w:oddHBand="0" w:evenHBand="0" w:firstRowFirstColumn="0" w:firstRowLastColumn="0" w:lastRowFirstColumn="0" w:lastRowLastColumn="0"/>
              <w:rPr>
                <w:bCs/>
              </w:rPr>
            </w:pPr>
            <w:r w:rsidRPr="00435AC1">
              <w:t xml:space="preserve">Key </w:t>
            </w:r>
            <w:r w:rsidR="000B1811">
              <w:t>a</w:t>
            </w:r>
            <w:r w:rsidRPr="00435AC1">
              <w:t>ctivities</w:t>
            </w:r>
          </w:p>
        </w:tc>
        <w:tc>
          <w:tcPr>
            <w:tcW w:w="3539" w:type="dxa"/>
            <w:hideMark/>
          </w:tcPr>
          <w:p w14:paraId="456A9C07" w14:textId="4CC25FA0" w:rsidR="00CC4D5D" w:rsidRPr="004C62ED" w:rsidRDefault="00CC4D5D" w:rsidP="00CC4D5D">
            <w:pPr>
              <w:cnfStyle w:val="100000000000" w:firstRow="1" w:lastRow="0" w:firstColumn="0" w:lastColumn="0" w:oddVBand="0" w:evenVBand="0" w:oddHBand="0" w:evenHBand="0" w:firstRowFirstColumn="0" w:firstRowLastColumn="0" w:lastRowFirstColumn="0" w:lastRowLastColumn="0"/>
              <w:rPr>
                <w:bCs/>
              </w:rPr>
            </w:pPr>
            <w:r w:rsidRPr="00435AC1">
              <w:t>Deliverables</w:t>
            </w:r>
          </w:p>
        </w:tc>
      </w:tr>
      <w:tr w:rsidR="004C62ED" w:rsidRPr="004C62ED" w14:paraId="2950B830" w14:textId="77777777" w:rsidTr="00486F3A">
        <w:trPr>
          <w:trHeight w:val="1523"/>
        </w:trPr>
        <w:tc>
          <w:tcPr>
            <w:cnfStyle w:val="001000000000" w:firstRow="0" w:lastRow="0" w:firstColumn="1" w:lastColumn="0" w:oddVBand="0" w:evenVBand="0" w:oddHBand="0" w:evenHBand="0" w:firstRowFirstColumn="0" w:firstRowLastColumn="0" w:lastRowFirstColumn="0" w:lastRowLastColumn="0"/>
            <w:tcW w:w="2122" w:type="dxa"/>
            <w:hideMark/>
          </w:tcPr>
          <w:p w14:paraId="167AAA51" w14:textId="77777777" w:rsidR="004C62ED" w:rsidRPr="004C62ED" w:rsidRDefault="004C62ED" w:rsidP="004C62ED">
            <w:r w:rsidRPr="004C62ED">
              <w:t>Risk assessment</w:t>
            </w:r>
          </w:p>
        </w:tc>
        <w:tc>
          <w:tcPr>
            <w:tcW w:w="4819" w:type="dxa"/>
            <w:hideMark/>
          </w:tcPr>
          <w:p w14:paraId="7AE4900F"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Identify key risks and issues which may represent constraints to the successful planning or delivery of the Reference Project, including staging, approval processes and timing considerations.</w:t>
            </w:r>
          </w:p>
        </w:tc>
        <w:tc>
          <w:tcPr>
            <w:tcW w:w="3539" w:type="dxa"/>
            <w:hideMark/>
          </w:tcPr>
          <w:p w14:paraId="2D7776DA" w14:textId="77777777" w:rsidR="004C62ED" w:rsidRPr="004C62ED" w:rsidRDefault="004C62ED" w:rsidP="00A2538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4C62ED">
              <w:t>Legal and regulatory input throughout the Quantity Surveyor’s risk assessment process.</w:t>
            </w:r>
          </w:p>
          <w:p w14:paraId="5B175625"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Legal and regulatory advice on Social Impact Evaluation team’s benefit register.</w:t>
            </w:r>
          </w:p>
        </w:tc>
      </w:tr>
      <w:tr w:rsidR="004C62ED" w:rsidRPr="004C62ED" w14:paraId="1162E560" w14:textId="77777777" w:rsidTr="00486F3A">
        <w:trPr>
          <w:trHeight w:val="1523"/>
        </w:trPr>
        <w:tc>
          <w:tcPr>
            <w:cnfStyle w:val="001000000000" w:firstRow="0" w:lastRow="0" w:firstColumn="1" w:lastColumn="0" w:oddVBand="0" w:evenVBand="0" w:oddHBand="0" w:evenHBand="0" w:firstRowFirstColumn="0" w:firstRowLastColumn="0" w:lastRowFirstColumn="0" w:lastRowLastColumn="0"/>
            <w:tcW w:w="2122" w:type="dxa"/>
            <w:hideMark/>
          </w:tcPr>
          <w:p w14:paraId="18B6CEC0" w14:textId="77777777" w:rsidR="004C62ED" w:rsidRPr="004C62ED" w:rsidRDefault="004C62ED" w:rsidP="004C62ED">
            <w:r w:rsidRPr="004C62ED">
              <w:t>Reference project development, including a staged option</w:t>
            </w:r>
          </w:p>
        </w:tc>
        <w:tc>
          <w:tcPr>
            <w:tcW w:w="4819" w:type="dxa"/>
            <w:hideMark/>
          </w:tcPr>
          <w:p w14:paraId="38264FE7"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Legal and regulatory compliance review.</w:t>
            </w:r>
          </w:p>
          <w:p w14:paraId="30D41494"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Workforce planning review, encompassing a staged delivery option.</w:t>
            </w:r>
          </w:p>
        </w:tc>
        <w:tc>
          <w:tcPr>
            <w:tcW w:w="3539" w:type="dxa"/>
            <w:hideMark/>
          </w:tcPr>
          <w:p w14:paraId="53264C6E"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Recommendations on workforce standing agreements and existing contracts that may require renegotiation or compensation.</w:t>
            </w:r>
          </w:p>
          <w:p w14:paraId="7F4EE98E"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Provide legal and regulatory inputs for briefing notes, correspondence, reports, as required.</w:t>
            </w:r>
          </w:p>
        </w:tc>
      </w:tr>
      <w:tr w:rsidR="004C62ED" w:rsidRPr="004C62ED" w14:paraId="7D699C27" w14:textId="77777777" w:rsidTr="00486F3A">
        <w:trPr>
          <w:trHeight w:val="1461"/>
        </w:trPr>
        <w:tc>
          <w:tcPr>
            <w:cnfStyle w:val="001000000000" w:firstRow="0" w:lastRow="0" w:firstColumn="1" w:lastColumn="0" w:oddVBand="0" w:evenVBand="0" w:oddHBand="0" w:evenHBand="0" w:firstRowFirstColumn="0" w:firstRowLastColumn="0" w:lastRowFirstColumn="0" w:lastRowLastColumn="0"/>
            <w:tcW w:w="2122" w:type="dxa"/>
            <w:hideMark/>
          </w:tcPr>
          <w:p w14:paraId="1A063FDC" w14:textId="77777777" w:rsidR="004C62ED" w:rsidRPr="004C62ED" w:rsidRDefault="004C62ED" w:rsidP="004C62ED">
            <w:r w:rsidRPr="004C62ED">
              <w:t>Stakeholder engagement</w:t>
            </w:r>
          </w:p>
        </w:tc>
        <w:tc>
          <w:tcPr>
            <w:tcW w:w="4819" w:type="dxa"/>
            <w:hideMark/>
          </w:tcPr>
          <w:p w14:paraId="7CCCA64C"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Participation in workshops and meetings regarding stakeholder engagement and communications plan, as needed.</w:t>
            </w:r>
          </w:p>
        </w:tc>
        <w:tc>
          <w:tcPr>
            <w:tcW w:w="3539" w:type="dxa"/>
            <w:hideMark/>
          </w:tcPr>
          <w:p w14:paraId="5214A779" w14:textId="77777777" w:rsidR="004C62ED" w:rsidRPr="004C62ED" w:rsidRDefault="004C62ED" w:rsidP="00A25384">
            <w:pPr>
              <w:numPr>
                <w:ilvl w:val="0"/>
                <w:numId w:val="5"/>
              </w:numPr>
              <w:cnfStyle w:val="000000000000" w:firstRow="0" w:lastRow="0" w:firstColumn="0" w:lastColumn="0" w:oddVBand="0" w:evenVBand="0" w:oddHBand="0" w:evenHBand="0" w:firstRowFirstColumn="0" w:firstRowLastColumn="0" w:lastRowFirstColumn="0" w:lastRowLastColumn="0"/>
            </w:pPr>
            <w:r w:rsidRPr="004C62ED">
              <w:t>Provide legal and regulatory advice to Stakeholder Engagement and Communications advisor, as needed.</w:t>
            </w:r>
          </w:p>
        </w:tc>
      </w:tr>
      <w:tr w:rsidR="004C62ED" w:rsidRPr="004C62ED" w14:paraId="1F9D536F" w14:textId="77777777" w:rsidTr="00486F3A">
        <w:trPr>
          <w:cnfStyle w:val="010000000000" w:firstRow="0" w:lastRow="1" w:firstColumn="0" w:lastColumn="0" w:oddVBand="0" w:evenVBand="0" w:oddHBand="0" w:evenHBand="0" w:firstRowFirstColumn="0" w:firstRowLastColumn="0" w:lastRowFirstColumn="0" w:lastRowLastColumn="0"/>
          <w:trHeight w:val="3463"/>
        </w:trPr>
        <w:tc>
          <w:tcPr>
            <w:cnfStyle w:val="001000000000" w:firstRow="0" w:lastRow="0" w:firstColumn="1" w:lastColumn="0" w:oddVBand="0" w:evenVBand="0" w:oddHBand="0" w:evenHBand="0" w:firstRowFirstColumn="0" w:firstRowLastColumn="0" w:lastRowFirstColumn="0" w:lastRowLastColumn="0"/>
            <w:tcW w:w="2122" w:type="dxa"/>
            <w:hideMark/>
          </w:tcPr>
          <w:p w14:paraId="57988425" w14:textId="77777777" w:rsidR="004C62ED" w:rsidRPr="004C62ED" w:rsidRDefault="004C62ED" w:rsidP="004C62ED">
            <w:r w:rsidRPr="004C62ED">
              <w:t>Chapter development</w:t>
            </w:r>
          </w:p>
        </w:tc>
        <w:tc>
          <w:tcPr>
            <w:tcW w:w="4819" w:type="dxa"/>
            <w:hideMark/>
          </w:tcPr>
          <w:p w14:paraId="11126293" w14:textId="77777777" w:rsidR="004C62ED" w:rsidRPr="004C62ED" w:rsidRDefault="004C62ED" w:rsidP="00541179">
            <w:pPr>
              <w:numPr>
                <w:ilvl w:val="0"/>
                <w:numId w:val="5"/>
              </w:numPr>
              <w:cnfStyle w:val="010000000000" w:firstRow="0" w:lastRow="1" w:firstColumn="0" w:lastColumn="0" w:oddVBand="0" w:evenVBand="0" w:oddHBand="0" w:evenHBand="0" w:firstRowFirstColumn="0" w:firstRowLastColumn="0" w:lastRowFirstColumn="0" w:lastRowLastColumn="0"/>
            </w:pPr>
            <w:r w:rsidRPr="004C62ED">
              <w:t>Conduct legal and regulatory workshop discussions with key stakeholders.</w:t>
            </w:r>
          </w:p>
          <w:p w14:paraId="095C60CC" w14:textId="77777777" w:rsidR="004C62ED" w:rsidRPr="004C62ED" w:rsidRDefault="004C62ED" w:rsidP="00541179">
            <w:pPr>
              <w:numPr>
                <w:ilvl w:val="0"/>
                <w:numId w:val="5"/>
              </w:numPr>
              <w:cnfStyle w:val="010000000000" w:firstRow="0" w:lastRow="1" w:firstColumn="0" w:lastColumn="0" w:oddVBand="0" w:evenVBand="0" w:oddHBand="0" w:evenHBand="0" w:firstRowFirstColumn="0" w:firstRowLastColumn="0" w:lastRowFirstColumn="0" w:lastRowLastColumn="0"/>
            </w:pPr>
            <w:r w:rsidRPr="004C62ED">
              <w:t>Participation in workshops and meetings to provide review of Strategic Considerations, Delivery Model Analysis and Implementation Plan chapters.</w:t>
            </w:r>
          </w:p>
          <w:p w14:paraId="37FA18D9" w14:textId="77777777" w:rsidR="004C62ED" w:rsidRPr="004C62ED" w:rsidRDefault="004C62ED" w:rsidP="00541179">
            <w:pPr>
              <w:numPr>
                <w:ilvl w:val="0"/>
                <w:numId w:val="5"/>
              </w:numPr>
              <w:cnfStyle w:val="010000000000" w:firstRow="0" w:lastRow="1" w:firstColumn="0" w:lastColumn="0" w:oddVBand="0" w:evenVBand="0" w:oddHBand="0" w:evenHBand="0" w:firstRowFirstColumn="0" w:firstRowLastColumn="0" w:lastRowFirstColumn="0" w:lastRowLastColumn="0"/>
            </w:pPr>
            <w:r w:rsidRPr="004C62ED">
              <w:t>Review the Sustainability Assessment, Environmental Assessment and Social Impact Evaluation chapters.</w:t>
            </w:r>
          </w:p>
        </w:tc>
        <w:tc>
          <w:tcPr>
            <w:tcW w:w="3539" w:type="dxa"/>
            <w:hideMark/>
          </w:tcPr>
          <w:p w14:paraId="10981327" w14:textId="77777777" w:rsidR="004C62ED" w:rsidRPr="004C62ED" w:rsidRDefault="004C62ED" w:rsidP="00541179">
            <w:pPr>
              <w:numPr>
                <w:ilvl w:val="0"/>
                <w:numId w:val="5"/>
              </w:numPr>
              <w:cnfStyle w:val="010000000000" w:firstRow="0" w:lastRow="1" w:firstColumn="0" w:lastColumn="0" w:oddVBand="0" w:evenVBand="0" w:oddHBand="0" w:evenHBand="0" w:firstRowFirstColumn="0" w:firstRowLastColumn="0" w:lastRowFirstColumn="0" w:lastRowLastColumn="0"/>
            </w:pPr>
            <w:r w:rsidRPr="004C62ED">
              <w:t>Legal and Regulatory Due Diligence Report.</w:t>
            </w:r>
          </w:p>
          <w:p w14:paraId="35237C3C" w14:textId="77777777" w:rsidR="004C62ED" w:rsidRPr="004C62ED" w:rsidRDefault="004C62ED" w:rsidP="00541179">
            <w:pPr>
              <w:numPr>
                <w:ilvl w:val="0"/>
                <w:numId w:val="5"/>
              </w:numPr>
              <w:cnfStyle w:val="010000000000" w:firstRow="0" w:lastRow="1" w:firstColumn="0" w:lastColumn="0" w:oddVBand="0" w:evenVBand="0" w:oddHBand="0" w:evenHBand="0" w:firstRowFirstColumn="0" w:firstRowLastColumn="0" w:lastRowFirstColumn="0" w:lastRowLastColumn="0"/>
            </w:pPr>
            <w:r w:rsidRPr="004C62ED">
              <w:t>Draft of the DBC Legal and Regulatory chapter.</w:t>
            </w:r>
          </w:p>
          <w:p w14:paraId="2D61E510" w14:textId="77777777" w:rsidR="004C62ED" w:rsidRPr="004C62ED" w:rsidRDefault="004C62ED" w:rsidP="00541179">
            <w:pPr>
              <w:numPr>
                <w:ilvl w:val="0"/>
                <w:numId w:val="5"/>
              </w:numPr>
              <w:cnfStyle w:val="010000000000" w:firstRow="0" w:lastRow="1" w:firstColumn="0" w:lastColumn="0" w:oddVBand="0" w:evenVBand="0" w:oddHBand="0" w:evenHBand="0" w:firstRowFirstColumn="0" w:firstRowLastColumn="0" w:lastRowFirstColumn="0" w:lastRowLastColumn="0"/>
            </w:pPr>
            <w:r w:rsidRPr="004C62ED">
              <w:t>Briefing and documented inputs to ensure impacts of legal and regulatory considerations are reflected in the Strategic Considerations, Sustainability Assessment, Environmental Assessment, Social Impact Evaluation, Delivery Model Analysis and Implementation Plan chapters and, if required, the project cost estimates.</w:t>
            </w:r>
          </w:p>
        </w:tc>
      </w:tr>
    </w:tbl>
    <w:p w14:paraId="689FCBB1" w14:textId="0451BF02" w:rsidR="003C632B" w:rsidRPr="003C632B" w:rsidRDefault="00B2314B" w:rsidP="000F55BA">
      <w:pPr>
        <w:pStyle w:val="Heading1"/>
        <w:keepNext/>
        <w:widowControl/>
        <w:numPr>
          <w:ilvl w:val="0"/>
          <w:numId w:val="42"/>
        </w:numPr>
      </w:pPr>
      <w:r>
        <w:t>Out of Scope</w:t>
      </w:r>
    </w:p>
    <w:p w14:paraId="45E3675B" w14:textId="77777777" w:rsidR="003267DF" w:rsidRDefault="003267DF" w:rsidP="000F55BA">
      <w:pPr>
        <w:keepNext/>
        <w:rPr>
          <w:rFonts w:ascii="Arial" w:eastAsia="Arial" w:hAnsi="Arial" w:cs="Arial"/>
          <w:szCs w:val="20"/>
        </w:rPr>
      </w:pPr>
      <w:r>
        <w:rPr>
          <w:rFonts w:eastAsia="Arial" w:cs="Arial"/>
          <w:szCs w:val="20"/>
          <w:highlight w:val="cyan"/>
        </w:rPr>
        <w:t>[Delete this section if not applicable: High level summary only]</w:t>
      </w:r>
      <w:r>
        <w:rPr>
          <w:rFonts w:eastAsia="Arial" w:cs="Arial"/>
          <w:szCs w:val="20"/>
        </w:rPr>
        <w:t xml:space="preserve"> </w:t>
      </w:r>
    </w:p>
    <w:p w14:paraId="4000F28A" w14:textId="77777777" w:rsidR="003267DF" w:rsidRDefault="003267DF" w:rsidP="000F55BA">
      <w:pPr>
        <w:keepNext/>
        <w:rPr>
          <w:rFonts w:eastAsia="Arial" w:cs="Arial"/>
          <w:szCs w:val="20"/>
        </w:rPr>
      </w:pPr>
      <w:r>
        <w:rPr>
          <w:rFonts w:eastAsia="Arial" w:cs="Arial"/>
          <w:szCs w:val="20"/>
        </w:rPr>
        <w:t>The following work has been completed or is soon to be completed and is excluded from the scope of work for this engagement, subject to any qualifications noted in the key activities and deliverables above:</w:t>
      </w:r>
    </w:p>
    <w:p w14:paraId="53E2E217" w14:textId="77777777" w:rsidR="00030391" w:rsidRPr="00030391" w:rsidRDefault="00F60A63" w:rsidP="000F55BA">
      <w:pPr>
        <w:pStyle w:val="ListBullet"/>
        <w:keepNext/>
        <w:numPr>
          <w:ilvl w:val="0"/>
          <w:numId w:val="3"/>
        </w:numPr>
        <w:rPr>
          <w:rFonts w:eastAsia="Arial" w:cs="Arial"/>
          <w:color w:val="auto"/>
          <w:szCs w:val="20"/>
        </w:rPr>
      </w:pPr>
      <w:r w:rsidRPr="00030391">
        <w:rPr>
          <w:rFonts w:eastAsia="Arial" w:cs="Arial"/>
          <w:color w:val="auto"/>
          <w:szCs w:val="20"/>
          <w:highlight w:val="yellow"/>
        </w:rPr>
        <w:t>XXXX</w:t>
      </w:r>
    </w:p>
    <w:p w14:paraId="3639FBDB" w14:textId="77777777" w:rsidR="00030391" w:rsidRPr="00030391" w:rsidRDefault="00F60A63" w:rsidP="000F55BA">
      <w:pPr>
        <w:pStyle w:val="ListBullet"/>
        <w:keepNext/>
        <w:numPr>
          <w:ilvl w:val="0"/>
          <w:numId w:val="3"/>
        </w:numPr>
        <w:rPr>
          <w:rFonts w:eastAsia="Arial" w:cs="Arial"/>
          <w:color w:val="auto"/>
          <w:szCs w:val="20"/>
        </w:rPr>
      </w:pPr>
      <w:r w:rsidRPr="00030391">
        <w:rPr>
          <w:rFonts w:eastAsia="Arial" w:cs="Arial"/>
          <w:color w:val="auto"/>
          <w:szCs w:val="20"/>
          <w:highlight w:val="yellow"/>
        </w:rPr>
        <w:t>XXXX</w:t>
      </w:r>
    </w:p>
    <w:p w14:paraId="6AC98F13" w14:textId="358E7C0E" w:rsidR="00B477C2" w:rsidRPr="00030391" w:rsidRDefault="00F60A63" w:rsidP="000F55BA">
      <w:pPr>
        <w:pStyle w:val="ListBullet"/>
        <w:keepNext/>
        <w:numPr>
          <w:ilvl w:val="0"/>
          <w:numId w:val="3"/>
        </w:numPr>
        <w:rPr>
          <w:rFonts w:eastAsia="Arial" w:cs="Arial"/>
          <w:color w:val="auto"/>
          <w:szCs w:val="20"/>
        </w:rPr>
      </w:pPr>
      <w:r w:rsidRPr="00030391">
        <w:rPr>
          <w:rFonts w:eastAsia="Arial" w:cs="Arial"/>
          <w:color w:val="auto"/>
          <w:szCs w:val="20"/>
          <w:highlight w:val="yellow"/>
        </w:rPr>
        <w:t>XXXX</w:t>
      </w:r>
    </w:p>
    <w:p w14:paraId="2DEF914B" w14:textId="38F2F33C" w:rsidR="003C632B" w:rsidRPr="003C632B" w:rsidRDefault="003C632B" w:rsidP="000F55BA">
      <w:pPr>
        <w:pStyle w:val="Heading1"/>
        <w:numPr>
          <w:ilvl w:val="0"/>
          <w:numId w:val="42"/>
        </w:numPr>
      </w:pPr>
      <w:r w:rsidRPr="003C632B">
        <w:t xml:space="preserve">Reporting </w:t>
      </w:r>
      <w:r w:rsidR="00867113">
        <w:t>r</w:t>
      </w:r>
      <w:r w:rsidRPr="003C632B">
        <w:t xml:space="preserve">equirements </w:t>
      </w:r>
    </w:p>
    <w:p w14:paraId="6980A75E" w14:textId="77777777" w:rsidR="00F52663" w:rsidRPr="00F52663" w:rsidRDefault="00F52663" w:rsidP="00F52663">
      <w:pPr>
        <w:pStyle w:val="BodyText"/>
        <w:rPr>
          <w:rFonts w:ascii="Noto Sans" w:hAnsi="Noto Sans" w:cs="Noto Sans"/>
          <w:color w:val="auto"/>
        </w:rPr>
      </w:pPr>
      <w:bookmarkStart w:id="2" w:name="_Hlk117086886"/>
      <w:r w:rsidRPr="00F52663">
        <w:rPr>
          <w:rFonts w:ascii="Noto Sans" w:hAnsi="Noto Sans" w:cs="Noto Sans"/>
          <w:color w:val="auto"/>
        </w:rPr>
        <w:t xml:space="preserve">The Peer Reviewer will report directly to the Business Case Director for Peer Review activities.  </w:t>
      </w:r>
    </w:p>
    <w:p w14:paraId="07A1B212" w14:textId="77777777" w:rsidR="00F52663" w:rsidRPr="00F52663" w:rsidRDefault="00F52663" w:rsidP="00F52663">
      <w:pPr>
        <w:pStyle w:val="BodyText"/>
        <w:rPr>
          <w:rFonts w:ascii="Noto Sans" w:hAnsi="Noto Sans" w:cs="Noto Sans"/>
          <w:color w:val="auto"/>
        </w:rPr>
      </w:pPr>
      <w:r w:rsidRPr="00F52663">
        <w:rPr>
          <w:rFonts w:ascii="Noto Sans" w:hAnsi="Noto Sans" w:cs="Noto Sans"/>
          <w:color w:val="auto"/>
        </w:rPr>
        <w:t xml:space="preserve">The Peer Reviewer will be responsible for agreeing with </w:t>
      </w:r>
      <w:r w:rsidRPr="00F52663">
        <w:rPr>
          <w:rFonts w:ascii="Noto Sans" w:eastAsia="Times New Roman" w:hAnsi="Noto Sans" w:cs="Noto Sans"/>
          <w:color w:val="auto"/>
          <w:highlight w:val="yellow"/>
          <w:lang w:eastAsia="en-AU"/>
        </w:rPr>
        <w:t>&lt;&lt;Owner Agency Name&gt;&gt;</w:t>
      </w:r>
      <w:r w:rsidRPr="00F52663">
        <w:rPr>
          <w:rFonts w:ascii="Noto Sans" w:hAnsi="Noto Sans" w:cs="Noto Sans"/>
          <w:color w:val="auto"/>
        </w:rPr>
        <w:t xml:space="preserve"> the form, nature and timing of information required, following contract award. </w:t>
      </w:r>
    </w:p>
    <w:p w14:paraId="613905BF" w14:textId="77777777" w:rsidR="00F52663" w:rsidRPr="00F52663" w:rsidRDefault="00F52663" w:rsidP="00F52663">
      <w:pPr>
        <w:pStyle w:val="BodyText"/>
        <w:rPr>
          <w:rFonts w:ascii="Noto Sans" w:hAnsi="Noto Sans" w:cs="Noto Sans"/>
          <w:color w:val="auto"/>
        </w:rPr>
      </w:pPr>
      <w:r w:rsidRPr="00F52663">
        <w:rPr>
          <w:rFonts w:ascii="Noto Sans" w:hAnsi="Noto Sans" w:cs="Noto Sans"/>
          <w:color w:val="auto"/>
        </w:rPr>
        <w:t>Any interactions between the Peer Reviewer and the Project team and relevant Project advisors will be arranged by the Business Case Director.</w:t>
      </w:r>
    </w:p>
    <w:p w14:paraId="639E6CD7" w14:textId="77777777" w:rsidR="00F52663" w:rsidRPr="00F52663" w:rsidRDefault="00F52663" w:rsidP="00F52663">
      <w:pPr>
        <w:pStyle w:val="BodyText"/>
        <w:rPr>
          <w:rFonts w:ascii="Noto Sans" w:hAnsi="Noto Sans" w:cs="Noto Sans"/>
          <w:color w:val="auto"/>
        </w:rPr>
      </w:pPr>
      <w:r w:rsidRPr="00F52663">
        <w:rPr>
          <w:rFonts w:ascii="Noto Sans" w:hAnsi="Noto Sans" w:cs="Noto Sans"/>
          <w:color w:val="auto"/>
        </w:rPr>
        <w:t>Weekly updates are to be provided to the Business Case Director. The Peer Reviewer will be expected to provide an update of outcomes after the completion of each key delivery phase activity, including a breakdown of work performed.</w:t>
      </w:r>
      <w:bookmarkEnd w:id="2"/>
    </w:p>
    <w:p w14:paraId="0E3C2893" w14:textId="77777777" w:rsidR="003C632B" w:rsidRPr="003C632B" w:rsidRDefault="003C632B" w:rsidP="000F55BA">
      <w:pPr>
        <w:pStyle w:val="Heading1"/>
        <w:keepNext/>
        <w:widowControl/>
        <w:numPr>
          <w:ilvl w:val="0"/>
          <w:numId w:val="42"/>
        </w:numPr>
      </w:pPr>
      <w:r w:rsidRPr="003C632B">
        <w:t xml:space="preserve">Timeframes </w:t>
      </w:r>
    </w:p>
    <w:p w14:paraId="7AFE9795" w14:textId="77777777" w:rsidR="000D441F" w:rsidRPr="000D441F" w:rsidRDefault="000D441F" w:rsidP="000F55BA">
      <w:pPr>
        <w:pStyle w:val="BodyText"/>
        <w:keepNext/>
        <w:rPr>
          <w:rFonts w:ascii="Noto Sans" w:hAnsi="Noto Sans" w:cs="Noto Sans"/>
          <w:color w:val="auto"/>
          <w:highlight w:val="cyan"/>
        </w:rPr>
      </w:pPr>
      <w:bookmarkStart w:id="3" w:name="_Hlk82096553"/>
      <w:r w:rsidRPr="000D441F">
        <w:rPr>
          <w:rFonts w:ascii="Noto Sans" w:hAnsi="Noto Sans" w:cs="Noto Sans"/>
          <w:color w:val="auto"/>
          <w:highlight w:val="cyan"/>
        </w:rPr>
        <w:t>[Drafting note: consideration needs to be given to the high-level timeframe requirements for your options analysis to assist Suppliers in resource planning over the course of the project. Below are suggested milestones and this must be updated to align with your own project schedule.</w:t>
      </w:r>
    </w:p>
    <w:p w14:paraId="140A1C9A" w14:textId="77777777" w:rsidR="000D441F" w:rsidRPr="000D441F" w:rsidRDefault="000D441F" w:rsidP="000F55BA">
      <w:pPr>
        <w:pStyle w:val="BodyText"/>
        <w:keepNext/>
        <w:rPr>
          <w:rFonts w:ascii="Noto Sans" w:hAnsi="Noto Sans" w:cs="Noto Sans"/>
          <w:color w:val="auto"/>
        </w:rPr>
      </w:pPr>
      <w:r w:rsidRPr="000D441F">
        <w:rPr>
          <w:rFonts w:ascii="Noto Sans" w:hAnsi="Noto Sans" w:cs="Noto Sans"/>
          <w:color w:val="auto"/>
          <w:highlight w:val="cyan"/>
        </w:rPr>
        <w:t>As a minimum, end dates should be provided in the “Anticipated Timing” column. If no date is known use months, however greater clarity will help respondents. These tables should provide enough detail to help with planning a response but not be overly prescriptive.]</w:t>
      </w:r>
      <w:bookmarkEnd w:id="3"/>
    </w:p>
    <w:p w14:paraId="62F801F5" w14:textId="6CD4CE52" w:rsidR="000D441F" w:rsidRDefault="000D441F" w:rsidP="000F55BA">
      <w:pPr>
        <w:pStyle w:val="BodyText"/>
        <w:keepNext/>
        <w:rPr>
          <w:rFonts w:ascii="Noto Sans" w:hAnsi="Noto Sans" w:cs="Noto Sans"/>
          <w:color w:val="auto"/>
          <w:szCs w:val="20"/>
        </w:rPr>
      </w:pPr>
      <w:r>
        <w:rPr>
          <w:rFonts w:ascii="Noto Sans" w:hAnsi="Noto Sans" w:cs="Noto Sans"/>
          <w:color w:val="auto"/>
          <w:szCs w:val="20"/>
        </w:rPr>
        <w:t>Table 2 o</w:t>
      </w:r>
      <w:r w:rsidRPr="000D441F">
        <w:rPr>
          <w:rFonts w:ascii="Noto Sans" w:hAnsi="Noto Sans" w:cs="Noto Sans"/>
          <w:color w:val="auto"/>
          <w:szCs w:val="20"/>
        </w:rPr>
        <w:t xml:space="preserve">utlines the key milestones currently anticipated for this engagement. These dates will be confirmed as part of the contract award process. </w:t>
      </w:r>
    </w:p>
    <w:p w14:paraId="36F0766C" w14:textId="1048CED9" w:rsidR="002D2169" w:rsidRPr="002D2169" w:rsidRDefault="002D2169" w:rsidP="000F55BA">
      <w:pPr>
        <w:pStyle w:val="BodyText"/>
        <w:keepNext/>
        <w:rPr>
          <w:rFonts w:cs="Noto Sans"/>
          <w:b/>
          <w:color w:val="auto"/>
          <w:szCs w:val="20"/>
        </w:rPr>
      </w:pPr>
      <w:r w:rsidRPr="002D2169">
        <w:rPr>
          <w:rFonts w:cs="Noto Sans"/>
          <w:b/>
          <w:color w:val="auto"/>
          <w:szCs w:val="20"/>
        </w:rPr>
        <w:t xml:space="preserve">Table 2: Peer Review </w:t>
      </w:r>
      <w:r w:rsidR="00867113">
        <w:rPr>
          <w:rFonts w:cs="Noto Sans"/>
          <w:b/>
          <w:color w:val="auto"/>
          <w:szCs w:val="20"/>
        </w:rPr>
        <w:t>t</w:t>
      </w:r>
      <w:r w:rsidRPr="002D2169">
        <w:rPr>
          <w:rFonts w:cs="Noto Sans"/>
          <w:b/>
          <w:color w:val="auto"/>
          <w:szCs w:val="20"/>
        </w:rPr>
        <w:t xml:space="preserve">imeframes </w:t>
      </w:r>
    </w:p>
    <w:tbl>
      <w:tblPr>
        <w:tblStyle w:val="Table-QldBlue"/>
        <w:tblW w:w="5000" w:type="pct"/>
        <w:tblLayout w:type="fixed"/>
        <w:tblLook w:val="0620" w:firstRow="1" w:lastRow="0" w:firstColumn="0" w:lastColumn="0" w:noHBand="1" w:noVBand="1"/>
      </w:tblPr>
      <w:tblGrid>
        <w:gridCol w:w="5239"/>
        <w:gridCol w:w="5241"/>
      </w:tblGrid>
      <w:tr w:rsidR="002D2169" w:rsidRPr="002D2169" w14:paraId="0DC9146B" w14:textId="77777777" w:rsidTr="00545E7E">
        <w:trPr>
          <w:cnfStyle w:val="100000000000" w:firstRow="1" w:lastRow="0" w:firstColumn="0" w:lastColumn="0" w:oddVBand="0" w:evenVBand="0" w:oddHBand="0" w:evenHBand="0" w:firstRowFirstColumn="0" w:firstRowLastColumn="0" w:lastRowFirstColumn="0" w:lastRowLastColumn="0"/>
        </w:trPr>
        <w:tc>
          <w:tcPr>
            <w:tcW w:w="5239" w:type="dxa"/>
            <w:hideMark/>
          </w:tcPr>
          <w:p w14:paraId="41FBE546" w14:textId="77777777" w:rsidR="002D2169" w:rsidRPr="002D2169" w:rsidRDefault="002D2169" w:rsidP="002D2169">
            <w:pPr>
              <w:pStyle w:val="BodyText"/>
              <w:rPr>
                <w:rFonts w:ascii="Noto Sans" w:hAnsi="Noto Sans" w:cs="Noto Sans"/>
                <w:color w:val="auto"/>
                <w:szCs w:val="20"/>
                <w:lang w:eastAsia="en-US"/>
              </w:rPr>
            </w:pPr>
            <w:r w:rsidRPr="002D2169">
              <w:rPr>
                <w:rFonts w:ascii="Noto Sans" w:hAnsi="Noto Sans" w:cs="Noto Sans"/>
                <w:color w:val="auto"/>
                <w:szCs w:val="20"/>
                <w:lang w:eastAsia="en-US"/>
              </w:rPr>
              <w:t>Activity/Phase</w:t>
            </w:r>
          </w:p>
        </w:tc>
        <w:tc>
          <w:tcPr>
            <w:tcW w:w="5241" w:type="dxa"/>
            <w:hideMark/>
          </w:tcPr>
          <w:p w14:paraId="779798AD" w14:textId="6D940D2B" w:rsidR="002D2169" w:rsidRPr="002D2169" w:rsidRDefault="006A1D04" w:rsidP="002D2169">
            <w:pPr>
              <w:pStyle w:val="BodyText"/>
              <w:rPr>
                <w:rFonts w:ascii="Noto Sans" w:hAnsi="Noto Sans" w:cs="Noto Sans"/>
                <w:color w:val="auto"/>
                <w:szCs w:val="20"/>
                <w:lang w:eastAsia="en-US"/>
              </w:rPr>
            </w:pPr>
            <w:r w:rsidRPr="002D2169">
              <w:rPr>
                <w:rFonts w:ascii="Noto Sans" w:hAnsi="Noto Sans" w:cs="Noto Sans"/>
                <w:color w:val="auto"/>
                <w:szCs w:val="20"/>
                <w:lang w:eastAsia="en-US"/>
              </w:rPr>
              <w:t xml:space="preserve">Anticipated </w:t>
            </w:r>
            <w:r w:rsidR="00867113">
              <w:rPr>
                <w:rFonts w:ascii="Noto Sans" w:hAnsi="Noto Sans" w:cs="Noto Sans"/>
                <w:color w:val="auto"/>
                <w:szCs w:val="20"/>
                <w:lang w:eastAsia="en-US"/>
              </w:rPr>
              <w:t>t</w:t>
            </w:r>
            <w:r w:rsidRPr="002D2169">
              <w:rPr>
                <w:rFonts w:ascii="Noto Sans" w:hAnsi="Noto Sans" w:cs="Noto Sans"/>
                <w:color w:val="auto"/>
                <w:szCs w:val="20"/>
                <w:lang w:eastAsia="en-US"/>
              </w:rPr>
              <w:t>imeframes</w:t>
            </w:r>
          </w:p>
        </w:tc>
      </w:tr>
      <w:tr w:rsidR="002D2169" w:rsidRPr="002D2169" w14:paraId="77DCF9BA" w14:textId="77777777" w:rsidTr="003D746B">
        <w:tc>
          <w:tcPr>
            <w:tcW w:w="5239" w:type="dxa"/>
            <w:shd w:val="clear" w:color="auto" w:fill="E7E6E6" w:themeFill="background2"/>
            <w:hideMark/>
          </w:tcPr>
          <w:p w14:paraId="7621122D" w14:textId="77777777" w:rsidR="002D2169" w:rsidRPr="003D746B" w:rsidRDefault="002D2169" w:rsidP="002D2169">
            <w:pPr>
              <w:pStyle w:val="BodyText"/>
              <w:rPr>
                <w:rFonts w:ascii="Noto Sans" w:hAnsi="Noto Sans" w:cs="Noto Sans"/>
                <w:b/>
                <w:bCs/>
                <w:color w:val="auto"/>
                <w:szCs w:val="20"/>
                <w:lang w:eastAsia="en-US"/>
              </w:rPr>
            </w:pPr>
            <w:r w:rsidRPr="003D746B">
              <w:rPr>
                <w:rFonts w:ascii="Noto Sans" w:hAnsi="Noto Sans" w:cs="Noto Sans"/>
                <w:b/>
                <w:bCs/>
                <w:color w:val="auto"/>
                <w:szCs w:val="20"/>
                <w:lang w:eastAsia="en-US"/>
              </w:rPr>
              <w:t>Initiation complete</w:t>
            </w:r>
          </w:p>
        </w:tc>
        <w:tc>
          <w:tcPr>
            <w:tcW w:w="5241" w:type="dxa"/>
          </w:tcPr>
          <w:p w14:paraId="6DC34939" w14:textId="77777777" w:rsidR="002D2169" w:rsidRPr="002D2169" w:rsidRDefault="002D2169" w:rsidP="002D2169">
            <w:pPr>
              <w:pStyle w:val="BodyText"/>
              <w:rPr>
                <w:rFonts w:ascii="Noto Sans" w:hAnsi="Noto Sans" w:cs="Noto Sans"/>
                <w:color w:val="auto"/>
                <w:szCs w:val="20"/>
                <w:lang w:eastAsia="en-US"/>
              </w:rPr>
            </w:pPr>
          </w:p>
        </w:tc>
      </w:tr>
      <w:tr w:rsidR="002D2169" w:rsidRPr="002D2169" w14:paraId="090420F9" w14:textId="77777777" w:rsidTr="003D746B">
        <w:tc>
          <w:tcPr>
            <w:tcW w:w="5239" w:type="dxa"/>
            <w:shd w:val="clear" w:color="auto" w:fill="E7E6E6" w:themeFill="background2"/>
            <w:hideMark/>
          </w:tcPr>
          <w:p w14:paraId="736555AB" w14:textId="77777777" w:rsidR="002D2169" w:rsidRPr="003D746B" w:rsidRDefault="002D2169" w:rsidP="002D2169">
            <w:pPr>
              <w:pStyle w:val="BodyText"/>
              <w:rPr>
                <w:rFonts w:ascii="Noto Sans" w:hAnsi="Noto Sans" w:cs="Noto Sans"/>
                <w:b/>
                <w:bCs/>
                <w:color w:val="auto"/>
                <w:szCs w:val="20"/>
                <w:highlight w:val="yellow"/>
                <w:lang w:eastAsia="en-US"/>
              </w:rPr>
            </w:pPr>
            <w:r w:rsidRPr="003D746B">
              <w:rPr>
                <w:rFonts w:ascii="Noto Sans" w:hAnsi="Noto Sans" w:cs="Noto Sans"/>
                <w:b/>
                <w:bCs/>
                <w:color w:val="auto"/>
                <w:szCs w:val="20"/>
                <w:highlight w:val="yellow"/>
                <w:lang w:eastAsia="en-US"/>
              </w:rPr>
              <w:t xml:space="preserve">Advice on proposed Approach and Methodology </w:t>
            </w:r>
          </w:p>
        </w:tc>
        <w:tc>
          <w:tcPr>
            <w:tcW w:w="5241" w:type="dxa"/>
          </w:tcPr>
          <w:p w14:paraId="11948021" w14:textId="77777777" w:rsidR="002D2169" w:rsidRPr="002D2169" w:rsidRDefault="002D2169" w:rsidP="002D2169">
            <w:pPr>
              <w:pStyle w:val="BodyText"/>
              <w:rPr>
                <w:rFonts w:ascii="Noto Sans" w:hAnsi="Noto Sans" w:cs="Noto Sans"/>
                <w:color w:val="auto"/>
                <w:szCs w:val="20"/>
                <w:lang w:eastAsia="en-US"/>
              </w:rPr>
            </w:pPr>
          </w:p>
        </w:tc>
      </w:tr>
      <w:tr w:rsidR="002D2169" w:rsidRPr="002D2169" w14:paraId="6FB922D5" w14:textId="77777777" w:rsidTr="003D746B">
        <w:tc>
          <w:tcPr>
            <w:tcW w:w="5239" w:type="dxa"/>
            <w:shd w:val="clear" w:color="auto" w:fill="E7E6E6" w:themeFill="background2"/>
            <w:hideMark/>
          </w:tcPr>
          <w:p w14:paraId="7E719FA9" w14:textId="77777777" w:rsidR="002D2169" w:rsidRPr="003D746B" w:rsidRDefault="002D2169" w:rsidP="002D2169">
            <w:pPr>
              <w:pStyle w:val="BodyText"/>
              <w:rPr>
                <w:rFonts w:ascii="Noto Sans" w:hAnsi="Noto Sans" w:cs="Noto Sans"/>
                <w:b/>
                <w:bCs/>
                <w:color w:val="auto"/>
                <w:szCs w:val="20"/>
                <w:highlight w:val="yellow"/>
                <w:lang w:eastAsia="en-US"/>
              </w:rPr>
            </w:pPr>
            <w:r w:rsidRPr="003D746B">
              <w:rPr>
                <w:rFonts w:ascii="Noto Sans" w:hAnsi="Noto Sans" w:cs="Noto Sans"/>
                <w:b/>
                <w:bCs/>
                <w:color w:val="auto"/>
                <w:szCs w:val="20"/>
                <w:highlight w:val="yellow"/>
                <w:lang w:eastAsia="en-US"/>
              </w:rPr>
              <w:t>Milestone 1</w:t>
            </w:r>
          </w:p>
        </w:tc>
        <w:tc>
          <w:tcPr>
            <w:tcW w:w="5241" w:type="dxa"/>
          </w:tcPr>
          <w:p w14:paraId="680700DE" w14:textId="77777777" w:rsidR="002D2169" w:rsidRPr="002D2169" w:rsidRDefault="002D2169" w:rsidP="002D2169">
            <w:pPr>
              <w:pStyle w:val="BodyText"/>
              <w:rPr>
                <w:rFonts w:ascii="Noto Sans" w:hAnsi="Noto Sans" w:cs="Noto Sans"/>
                <w:color w:val="auto"/>
                <w:szCs w:val="20"/>
                <w:lang w:eastAsia="en-US"/>
              </w:rPr>
            </w:pPr>
          </w:p>
        </w:tc>
      </w:tr>
      <w:tr w:rsidR="002D2169" w:rsidRPr="002D2169" w14:paraId="60EDA7CD" w14:textId="77777777" w:rsidTr="003D746B">
        <w:tc>
          <w:tcPr>
            <w:tcW w:w="5239" w:type="dxa"/>
            <w:shd w:val="clear" w:color="auto" w:fill="E7E6E6" w:themeFill="background2"/>
            <w:hideMark/>
          </w:tcPr>
          <w:p w14:paraId="2C7A2B95" w14:textId="77777777" w:rsidR="002D2169" w:rsidRPr="003D746B" w:rsidRDefault="002D2169" w:rsidP="002D2169">
            <w:pPr>
              <w:pStyle w:val="BodyText"/>
              <w:rPr>
                <w:rFonts w:ascii="Noto Sans" w:hAnsi="Noto Sans" w:cs="Noto Sans"/>
                <w:b/>
                <w:bCs/>
                <w:color w:val="auto"/>
                <w:szCs w:val="20"/>
                <w:highlight w:val="yellow"/>
                <w:lang w:eastAsia="en-US"/>
              </w:rPr>
            </w:pPr>
            <w:r w:rsidRPr="003D746B">
              <w:rPr>
                <w:rFonts w:ascii="Noto Sans" w:hAnsi="Noto Sans" w:cs="Noto Sans"/>
                <w:b/>
                <w:bCs/>
                <w:color w:val="auto"/>
                <w:szCs w:val="20"/>
                <w:highlight w:val="yellow"/>
                <w:lang w:eastAsia="en-US"/>
              </w:rPr>
              <w:t>Milestone 2</w:t>
            </w:r>
          </w:p>
        </w:tc>
        <w:tc>
          <w:tcPr>
            <w:tcW w:w="5241" w:type="dxa"/>
          </w:tcPr>
          <w:p w14:paraId="65E6C3AD" w14:textId="77777777" w:rsidR="002D2169" w:rsidRPr="002D2169" w:rsidRDefault="002D2169" w:rsidP="002D2169">
            <w:pPr>
              <w:pStyle w:val="BodyText"/>
              <w:rPr>
                <w:rFonts w:ascii="Noto Sans" w:hAnsi="Noto Sans" w:cs="Noto Sans"/>
                <w:color w:val="auto"/>
                <w:szCs w:val="20"/>
                <w:lang w:eastAsia="en-US"/>
              </w:rPr>
            </w:pPr>
          </w:p>
        </w:tc>
      </w:tr>
      <w:tr w:rsidR="002D2169" w:rsidRPr="002D2169" w14:paraId="53511B69" w14:textId="77777777" w:rsidTr="003D746B">
        <w:tc>
          <w:tcPr>
            <w:tcW w:w="5239" w:type="dxa"/>
            <w:shd w:val="clear" w:color="auto" w:fill="E7E6E6" w:themeFill="background2"/>
            <w:hideMark/>
          </w:tcPr>
          <w:p w14:paraId="184B4927" w14:textId="77777777" w:rsidR="002D2169" w:rsidRPr="003D746B" w:rsidRDefault="002D2169" w:rsidP="002D2169">
            <w:pPr>
              <w:pStyle w:val="BodyText"/>
              <w:rPr>
                <w:rFonts w:ascii="Noto Sans" w:hAnsi="Noto Sans" w:cs="Noto Sans"/>
                <w:b/>
                <w:bCs/>
                <w:color w:val="auto"/>
                <w:szCs w:val="20"/>
                <w:highlight w:val="yellow"/>
                <w:lang w:eastAsia="en-US"/>
              </w:rPr>
            </w:pPr>
            <w:r w:rsidRPr="003D746B">
              <w:rPr>
                <w:rFonts w:ascii="Noto Sans" w:hAnsi="Noto Sans" w:cs="Noto Sans"/>
                <w:b/>
                <w:bCs/>
                <w:color w:val="auto"/>
                <w:szCs w:val="20"/>
                <w:highlight w:val="yellow"/>
                <w:lang w:eastAsia="en-US"/>
              </w:rPr>
              <w:t xml:space="preserve">Peer Review Report and summary of Peer Review conclusions </w:t>
            </w:r>
          </w:p>
        </w:tc>
        <w:tc>
          <w:tcPr>
            <w:tcW w:w="5241" w:type="dxa"/>
          </w:tcPr>
          <w:p w14:paraId="1B42234E" w14:textId="77777777" w:rsidR="002D2169" w:rsidRPr="002D2169" w:rsidRDefault="002D2169" w:rsidP="002D2169">
            <w:pPr>
              <w:pStyle w:val="BodyText"/>
              <w:rPr>
                <w:rFonts w:ascii="Noto Sans" w:hAnsi="Noto Sans" w:cs="Noto Sans"/>
                <w:color w:val="auto"/>
                <w:szCs w:val="20"/>
                <w:lang w:eastAsia="en-US"/>
              </w:rPr>
            </w:pPr>
          </w:p>
        </w:tc>
      </w:tr>
      <w:tr w:rsidR="002D2169" w:rsidRPr="002D2169" w14:paraId="4787C349" w14:textId="77777777" w:rsidTr="003D746B">
        <w:tc>
          <w:tcPr>
            <w:tcW w:w="5239" w:type="dxa"/>
            <w:shd w:val="clear" w:color="auto" w:fill="E7E6E6" w:themeFill="background2"/>
            <w:hideMark/>
          </w:tcPr>
          <w:p w14:paraId="69956E33" w14:textId="77777777" w:rsidR="002D2169" w:rsidRPr="003D746B" w:rsidRDefault="002D2169" w:rsidP="002D2169">
            <w:pPr>
              <w:pStyle w:val="BodyText"/>
              <w:rPr>
                <w:rFonts w:ascii="Noto Sans" w:hAnsi="Noto Sans" w:cs="Noto Sans"/>
                <w:b/>
                <w:bCs/>
                <w:color w:val="auto"/>
                <w:szCs w:val="20"/>
                <w:highlight w:val="yellow"/>
                <w:lang w:eastAsia="en-US"/>
              </w:rPr>
            </w:pPr>
            <w:r w:rsidRPr="003D746B">
              <w:rPr>
                <w:rFonts w:ascii="Noto Sans" w:hAnsi="Noto Sans" w:cs="Noto Sans"/>
                <w:b/>
                <w:bCs/>
                <w:color w:val="auto"/>
                <w:szCs w:val="20"/>
                <w:highlight w:val="yellow"/>
                <w:lang w:eastAsia="en-US"/>
              </w:rPr>
              <w:t>Letter to &lt;&lt;Project Name’s&gt;&gt; PSC</w:t>
            </w:r>
          </w:p>
        </w:tc>
        <w:tc>
          <w:tcPr>
            <w:tcW w:w="5241" w:type="dxa"/>
          </w:tcPr>
          <w:p w14:paraId="24B17950" w14:textId="77777777" w:rsidR="002D2169" w:rsidRPr="002D2169" w:rsidRDefault="002D2169" w:rsidP="002D2169">
            <w:pPr>
              <w:pStyle w:val="BodyText"/>
              <w:rPr>
                <w:rFonts w:ascii="Noto Sans" w:hAnsi="Noto Sans" w:cs="Noto Sans"/>
                <w:color w:val="auto"/>
                <w:szCs w:val="20"/>
                <w:lang w:eastAsia="en-US"/>
              </w:rPr>
            </w:pPr>
          </w:p>
        </w:tc>
      </w:tr>
      <w:tr w:rsidR="002D2169" w:rsidRPr="002D2169" w14:paraId="3B3DA7CB" w14:textId="77777777" w:rsidTr="003D746B">
        <w:tc>
          <w:tcPr>
            <w:tcW w:w="5239" w:type="dxa"/>
            <w:shd w:val="clear" w:color="auto" w:fill="E7E6E6" w:themeFill="background2"/>
            <w:hideMark/>
          </w:tcPr>
          <w:p w14:paraId="3E5B9D76" w14:textId="77777777" w:rsidR="002D2169" w:rsidRPr="003D746B" w:rsidRDefault="002D2169" w:rsidP="002D2169">
            <w:pPr>
              <w:pStyle w:val="BodyText"/>
              <w:rPr>
                <w:rFonts w:ascii="Noto Sans" w:hAnsi="Noto Sans" w:cs="Noto Sans"/>
                <w:b/>
                <w:bCs/>
                <w:color w:val="auto"/>
                <w:szCs w:val="20"/>
                <w:highlight w:val="yellow"/>
                <w:lang w:eastAsia="en-US"/>
              </w:rPr>
            </w:pPr>
            <w:r w:rsidRPr="003D746B">
              <w:rPr>
                <w:rFonts w:ascii="Noto Sans" w:hAnsi="Noto Sans" w:cs="Noto Sans"/>
                <w:b/>
                <w:bCs/>
                <w:color w:val="auto"/>
                <w:szCs w:val="20"/>
                <w:highlight w:val="yellow"/>
                <w:lang w:eastAsia="en-US"/>
              </w:rPr>
              <w:t>Close out phase complete (Contract close)</w:t>
            </w:r>
          </w:p>
        </w:tc>
        <w:tc>
          <w:tcPr>
            <w:tcW w:w="5241" w:type="dxa"/>
          </w:tcPr>
          <w:p w14:paraId="5BB49ED1" w14:textId="77777777" w:rsidR="002D2169" w:rsidRPr="002D2169" w:rsidRDefault="002D2169" w:rsidP="002D2169">
            <w:pPr>
              <w:pStyle w:val="BodyText"/>
              <w:rPr>
                <w:rFonts w:ascii="Noto Sans" w:hAnsi="Noto Sans" w:cs="Noto Sans"/>
                <w:color w:val="auto"/>
                <w:szCs w:val="20"/>
                <w:lang w:eastAsia="en-US"/>
              </w:rPr>
            </w:pPr>
          </w:p>
        </w:tc>
      </w:tr>
    </w:tbl>
    <w:p w14:paraId="0DA06623" w14:textId="5DFBC7E9" w:rsidR="003C632B" w:rsidRPr="00973B0B" w:rsidRDefault="003C632B" w:rsidP="00973B0B">
      <w:pPr>
        <w:spacing w:after="0"/>
        <w:rPr>
          <w:rFonts w:cs="Noto Sans"/>
          <w:lang w:val="en-GB"/>
        </w:rPr>
      </w:pPr>
    </w:p>
    <w:sectPr w:rsidR="003C632B" w:rsidRPr="00973B0B"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62C4" w14:textId="77777777" w:rsidR="002D17A1" w:rsidRDefault="002D17A1" w:rsidP="00190C24">
      <w:r>
        <w:separator/>
      </w:r>
    </w:p>
  </w:endnote>
  <w:endnote w:type="continuationSeparator" w:id="0">
    <w:p w14:paraId="6A71CFD0" w14:textId="77777777" w:rsidR="002D17A1" w:rsidRDefault="002D17A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068C9F1B" w:rsidR="00D17E7D" w:rsidRDefault="00816B29">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0DAC8A2">
              <wp:simplePos x="0" y="0"/>
              <wp:positionH relativeFrom="column">
                <wp:posOffset>-50165</wp:posOffset>
              </wp:positionH>
              <wp:positionV relativeFrom="paragraph">
                <wp:posOffset>197485</wp:posOffset>
              </wp:positionV>
              <wp:extent cx="3297555" cy="58102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581025"/>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72B03D69" w14:textId="2EDD6CCB" w:rsidR="00816B29" w:rsidRPr="003C632B" w:rsidRDefault="00EC52A1" w:rsidP="00816B29">
                              <w:pPr>
                                <w:spacing w:before="120"/>
                                <w:rPr>
                                  <w:rStyle w:val="Heading1Char"/>
                                </w:rPr>
                              </w:pPr>
                              <w:r w:rsidRPr="00731D5A">
                                <w:rPr>
                                  <w:rFonts w:cs="Noto Sans"/>
                                  <w:color w:val="FFFFFF" w:themeColor="background1"/>
                                </w:rPr>
                                <w:fldChar w:fldCharType="begin"/>
                              </w:r>
                              <w:r w:rsidRPr="00731D5A">
                                <w:rPr>
                                  <w:rFonts w:cs="Noto Sans"/>
                                  <w:color w:val="FFFFFF" w:themeColor="background1"/>
                                </w:rPr>
                                <w:instrText xml:space="preserve"> PAGE   \* MERGEFORMAT </w:instrText>
                              </w:r>
                              <w:r w:rsidRPr="00731D5A">
                                <w:rPr>
                                  <w:rFonts w:cs="Noto Sans"/>
                                  <w:color w:val="FFFFFF" w:themeColor="background1"/>
                                </w:rPr>
                                <w:fldChar w:fldCharType="separate"/>
                              </w:r>
                              <w:r w:rsidRPr="00731D5A">
                                <w:rPr>
                                  <w:rFonts w:cs="Noto Sans"/>
                                  <w:color w:val="FFFFFF" w:themeColor="background1"/>
                                </w:rPr>
                                <w:t>1</w:t>
                              </w:r>
                              <w:r w:rsidRPr="00731D5A">
                                <w:rPr>
                                  <w:rFonts w:cs="Noto San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421716182"/>
                                  <w:placeholder>
                                    <w:docPart w:val="9608E8C9CA23461CBF55E65BEE5C46E6"/>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030391">
                                    <w:rPr>
                                      <w:rStyle w:val="Heading1Char"/>
                                      <w:b w:val="0"/>
                                      <w:bCs/>
                                      <w:color w:val="FFFFFF" w:themeColor="background1"/>
                                      <w:sz w:val="20"/>
                                      <w:szCs w:val="20"/>
                                    </w:rPr>
                                    <w:t>Advisory Services – Peer Review – Financial and Commercial Analysis</w:t>
                                  </w:r>
                                </w:sdtContent>
                              </w:sdt>
                            </w:p>
                            <w:p w14:paraId="4180BD32" w14:textId="6E30E485" w:rsidR="00EC52A1" w:rsidRPr="00731D5A" w:rsidRDefault="00280749" w:rsidP="00EC52A1">
                              <w:pPr>
                                <w:pStyle w:val="Footer"/>
                                <w:rPr>
                                  <w:rFonts w:cs="Noto San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5pt;margin-top:15.55pt;width:259.6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72B03D69" w14:textId="2EDD6CCB" w:rsidR="00816B29" w:rsidRPr="003C632B" w:rsidRDefault="00EC52A1" w:rsidP="00816B29">
                        <w:pPr>
                          <w:spacing w:before="120"/>
                          <w:rPr>
                            <w:rStyle w:val="Heading1Char"/>
                          </w:rPr>
                        </w:pPr>
                        <w:r w:rsidRPr="00731D5A">
                          <w:rPr>
                            <w:rFonts w:cs="Noto Sans"/>
                            <w:color w:val="FFFFFF" w:themeColor="background1"/>
                          </w:rPr>
                          <w:fldChar w:fldCharType="begin"/>
                        </w:r>
                        <w:r w:rsidRPr="00731D5A">
                          <w:rPr>
                            <w:rFonts w:cs="Noto Sans"/>
                            <w:color w:val="FFFFFF" w:themeColor="background1"/>
                          </w:rPr>
                          <w:instrText xml:space="preserve"> PAGE   \* MERGEFORMAT </w:instrText>
                        </w:r>
                        <w:r w:rsidRPr="00731D5A">
                          <w:rPr>
                            <w:rFonts w:cs="Noto Sans"/>
                            <w:color w:val="FFFFFF" w:themeColor="background1"/>
                          </w:rPr>
                          <w:fldChar w:fldCharType="separate"/>
                        </w:r>
                        <w:r w:rsidRPr="00731D5A">
                          <w:rPr>
                            <w:rFonts w:cs="Noto Sans"/>
                            <w:color w:val="FFFFFF" w:themeColor="background1"/>
                          </w:rPr>
                          <w:t>1</w:t>
                        </w:r>
                        <w:r w:rsidRPr="00731D5A">
                          <w:rPr>
                            <w:rFonts w:cs="Noto San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421716182"/>
                            <w:placeholder>
                              <w:docPart w:val="9608E8C9CA23461CBF55E65BEE5C46E6"/>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030391">
                              <w:rPr>
                                <w:rStyle w:val="Heading1Char"/>
                                <w:b w:val="0"/>
                                <w:bCs/>
                                <w:color w:val="FFFFFF" w:themeColor="background1"/>
                                <w:sz w:val="20"/>
                                <w:szCs w:val="20"/>
                              </w:rPr>
                              <w:t>Advisory Services – Peer Review – Financial and Commercial Analysis</w:t>
                            </w:r>
                          </w:sdtContent>
                        </w:sdt>
                      </w:p>
                      <w:p w14:paraId="4180BD32" w14:textId="6E30E485" w:rsidR="00EC52A1" w:rsidRPr="00731D5A" w:rsidRDefault="00ED58D1" w:rsidP="00EC52A1">
                        <w:pPr>
                          <w:pStyle w:val="Footer"/>
                          <w:rPr>
                            <w:rFonts w:cs="Noto Sans"/>
                            <w:color w:val="FFFFFF" w:themeColor="background1"/>
                          </w:rPr>
                        </w:pPr>
                      </w:p>
                    </w:sdtContent>
                  </w:sdt>
                  <w:p w14:paraId="02E70833" w14:textId="77777777" w:rsidR="00EC52A1" w:rsidRDefault="00EC52A1" w:rsidP="00EC52A1"/>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5C56BC8F" w:rsidR="00D17E7D" w:rsidRDefault="00D17E7D">
    <w:pPr>
      <w:pStyle w:val="Footer"/>
    </w:pP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E75F" w14:textId="77777777" w:rsidR="002D17A1" w:rsidRDefault="002D17A1" w:rsidP="00190C24">
      <w:r>
        <w:separator/>
      </w:r>
    </w:p>
  </w:footnote>
  <w:footnote w:type="continuationSeparator" w:id="0">
    <w:p w14:paraId="0582F3DA" w14:textId="77777777" w:rsidR="002D17A1" w:rsidRDefault="002D17A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C221330"/>
    <w:lvl w:ilvl="0">
      <w:start w:val="1"/>
      <w:numFmt w:val="bullet"/>
      <w:pStyle w:val="ListBullet"/>
      <w:lvlText w:val="»"/>
      <w:lvlJc w:val="left"/>
      <w:pPr>
        <w:ind w:left="360" w:hanging="360"/>
      </w:pPr>
      <w:rPr>
        <w:rFonts w:ascii="Arial" w:hAnsi="Arial" w:cs="Times New Roman" w:hint="default"/>
        <w:color w:val="FFC000" w:themeColor="accent4"/>
      </w:rPr>
    </w:lvl>
  </w:abstractNum>
  <w:abstractNum w:abstractNumId="2" w15:restartNumberingAfterBreak="0">
    <w:nsid w:val="001859DE"/>
    <w:multiLevelType w:val="hybridMultilevel"/>
    <w:tmpl w:val="E3CA5A38"/>
    <w:lvl w:ilvl="0" w:tplc="E0DE6262">
      <w:start w:val="1"/>
      <w:numFmt w:val="bullet"/>
      <w:lvlText w:val="»"/>
      <w:lvlJc w:val="left"/>
      <w:pPr>
        <w:ind w:left="720" w:hanging="360"/>
      </w:pPr>
      <w:rPr>
        <w:rFonts w:ascii="Arial" w:hAnsi="Arial" w:cs="Times New Roman"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1605C98"/>
    <w:multiLevelType w:val="hybridMultilevel"/>
    <w:tmpl w:val="E0FCBF26"/>
    <w:lvl w:ilvl="0" w:tplc="0809000F">
      <w:start w:val="1"/>
      <w:numFmt w:val="decimal"/>
      <w:lvlText w:val="%1."/>
      <w:lvlJc w:val="lef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 w15:restartNumberingAfterBreak="0">
    <w:nsid w:val="03377E7B"/>
    <w:multiLevelType w:val="multilevel"/>
    <w:tmpl w:val="5FF0EA8E"/>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5" w15:restartNumberingAfterBreak="0">
    <w:nsid w:val="036B4F9B"/>
    <w:multiLevelType w:val="hybridMultilevel"/>
    <w:tmpl w:val="72B620C6"/>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CCE5ABB"/>
    <w:multiLevelType w:val="hybridMultilevel"/>
    <w:tmpl w:val="EEB4FB36"/>
    <w:lvl w:ilvl="0" w:tplc="E0DE6262">
      <w:start w:val="1"/>
      <w:numFmt w:val="bullet"/>
      <w:lvlText w:val="»"/>
      <w:lvlJc w:val="left"/>
      <w:pPr>
        <w:ind w:left="720" w:hanging="360"/>
      </w:pPr>
      <w:rPr>
        <w:rFonts w:ascii="Arial" w:hAnsi="Arial" w:cs="Times New Roman"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5B1709"/>
    <w:multiLevelType w:val="hybridMultilevel"/>
    <w:tmpl w:val="C3B0E4F2"/>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3BF0B78"/>
    <w:multiLevelType w:val="hybridMultilevel"/>
    <w:tmpl w:val="64E88A84"/>
    <w:lvl w:ilvl="0" w:tplc="E0DE6262">
      <w:start w:val="1"/>
      <w:numFmt w:val="bullet"/>
      <w:lvlText w:val="»"/>
      <w:lvlJc w:val="left"/>
      <w:pPr>
        <w:ind w:left="360" w:hanging="360"/>
      </w:pPr>
      <w:rPr>
        <w:rFonts w:ascii="Arial" w:hAnsi="Arial" w:cs="Times New Roman" w:hint="default"/>
        <w:b/>
        <w:bCs/>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B1808"/>
    <w:multiLevelType w:val="hybridMultilevel"/>
    <w:tmpl w:val="A8E2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3E6452"/>
    <w:multiLevelType w:val="multilevel"/>
    <w:tmpl w:val="F1B4515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45FF6"/>
    <w:multiLevelType w:val="hybridMultilevel"/>
    <w:tmpl w:val="4B3E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F70713"/>
    <w:multiLevelType w:val="hybridMultilevel"/>
    <w:tmpl w:val="3534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1269D"/>
    <w:multiLevelType w:val="hybridMultilevel"/>
    <w:tmpl w:val="CCB0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CB6571"/>
    <w:multiLevelType w:val="hybridMultilevel"/>
    <w:tmpl w:val="2F94A57E"/>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255E7B"/>
    <w:multiLevelType w:val="hybridMultilevel"/>
    <w:tmpl w:val="CDC2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490E60A5"/>
    <w:multiLevelType w:val="hybridMultilevel"/>
    <w:tmpl w:val="0B70455E"/>
    <w:lvl w:ilvl="0" w:tplc="FFFFFFFF">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9D45E6A"/>
    <w:multiLevelType w:val="hybridMultilevel"/>
    <w:tmpl w:val="437A0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BF33DAF"/>
    <w:multiLevelType w:val="hybridMultilevel"/>
    <w:tmpl w:val="0A6E63DE"/>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F2600B6"/>
    <w:multiLevelType w:val="hybridMultilevel"/>
    <w:tmpl w:val="21EA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61896"/>
    <w:multiLevelType w:val="hybridMultilevel"/>
    <w:tmpl w:val="BF00FD38"/>
    <w:lvl w:ilvl="0" w:tplc="36B2A69A">
      <w:start w:val="1"/>
      <w:numFmt w:val="bullet"/>
      <w:lvlText w:val="-"/>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68194F14"/>
    <w:multiLevelType w:val="hybridMultilevel"/>
    <w:tmpl w:val="05D867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DB26D4"/>
    <w:multiLevelType w:val="hybridMultilevel"/>
    <w:tmpl w:val="6E88E2AE"/>
    <w:lvl w:ilvl="0" w:tplc="F6468486">
      <w:start w:val="1"/>
      <w:numFmt w:val="bullet"/>
      <w:lvlText w:val="­"/>
      <w:lvlJc w:val="left"/>
      <w:pPr>
        <w:ind w:left="720" w:hanging="360"/>
      </w:pPr>
      <w:rPr>
        <w:rFonts w:ascii="Courier New" w:hAnsi="Courier New" w:cs="Times New Roman" w:hint="default"/>
      </w:rPr>
    </w:lvl>
    <w:lvl w:ilvl="1" w:tplc="F6468486">
      <w:start w:val="1"/>
      <w:numFmt w:val="bullet"/>
      <w:lvlText w:val="­"/>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E713700"/>
    <w:multiLevelType w:val="hybridMultilevel"/>
    <w:tmpl w:val="52088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7B2D85"/>
    <w:multiLevelType w:val="hybridMultilevel"/>
    <w:tmpl w:val="16F29E3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15:restartNumberingAfterBreak="0">
    <w:nsid w:val="7208624E"/>
    <w:multiLevelType w:val="hybridMultilevel"/>
    <w:tmpl w:val="A2588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A83329"/>
    <w:multiLevelType w:val="hybridMultilevel"/>
    <w:tmpl w:val="E484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865BFD"/>
    <w:multiLevelType w:val="hybridMultilevel"/>
    <w:tmpl w:val="6D0AA54E"/>
    <w:lvl w:ilvl="0" w:tplc="F926EF78">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AE32167"/>
    <w:multiLevelType w:val="hybridMultilevel"/>
    <w:tmpl w:val="4BB8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14"/>
  </w:num>
  <w:num w:numId="2" w16cid:durableId="507333452">
    <w:abstractNumId w:val="4"/>
  </w:num>
  <w:num w:numId="3" w16cid:durableId="737050295">
    <w:abstractNumId w:val="8"/>
  </w:num>
  <w:num w:numId="4" w16cid:durableId="794055874">
    <w:abstractNumId w:val="1"/>
  </w:num>
  <w:num w:numId="5" w16cid:durableId="463813489">
    <w:abstractNumId w:val="18"/>
  </w:num>
  <w:num w:numId="6" w16cid:durableId="1027440072">
    <w:abstractNumId w:val="2"/>
  </w:num>
  <w:num w:numId="7" w16cid:durableId="305553080">
    <w:abstractNumId w:val="0"/>
  </w:num>
  <w:num w:numId="8" w16cid:durableId="158008319">
    <w:abstractNumId w:val="31"/>
  </w:num>
  <w:num w:numId="9" w16cid:durableId="16943036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276431">
    <w:abstractNumId w:val="36"/>
  </w:num>
  <w:num w:numId="11" w16cid:durableId="6165283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6528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102511">
    <w:abstractNumId w:val="6"/>
  </w:num>
  <w:num w:numId="14" w16cid:durableId="800348836">
    <w:abstractNumId w:val="20"/>
  </w:num>
  <w:num w:numId="15" w16cid:durableId="1352219071">
    <w:abstractNumId w:val="3"/>
  </w:num>
  <w:num w:numId="16" w16cid:durableId="688750406">
    <w:abstractNumId w:val="34"/>
  </w:num>
  <w:num w:numId="17" w16cid:durableId="1022130639">
    <w:abstractNumId w:val="32"/>
  </w:num>
  <w:num w:numId="18" w16cid:durableId="1282805254">
    <w:abstractNumId w:val="11"/>
  </w:num>
  <w:num w:numId="19" w16cid:durableId="449936833">
    <w:abstractNumId w:val="25"/>
  </w:num>
  <w:num w:numId="20" w16cid:durableId="73671201">
    <w:abstractNumId w:val="22"/>
  </w:num>
  <w:num w:numId="21" w16cid:durableId="1666934045">
    <w:abstractNumId w:val="19"/>
  </w:num>
  <w:num w:numId="22" w16cid:durableId="1731466582">
    <w:abstractNumId w:val="15"/>
  </w:num>
  <w:num w:numId="23" w16cid:durableId="1908878703">
    <w:abstractNumId w:val="16"/>
  </w:num>
  <w:num w:numId="24" w16cid:durableId="1014377692">
    <w:abstractNumId w:val="17"/>
  </w:num>
  <w:num w:numId="25" w16cid:durableId="690302008">
    <w:abstractNumId w:val="12"/>
  </w:num>
  <w:num w:numId="26" w16cid:durableId="1780492139">
    <w:abstractNumId w:val="26"/>
  </w:num>
  <w:num w:numId="27" w16cid:durableId="572814726">
    <w:abstractNumId w:val="29"/>
  </w:num>
  <w:num w:numId="28" w16cid:durableId="497698402">
    <w:abstractNumId w:val="24"/>
  </w:num>
  <w:num w:numId="29" w16cid:durableId="239297773">
    <w:abstractNumId w:val="9"/>
  </w:num>
  <w:num w:numId="30" w16cid:durableId="2008555139">
    <w:abstractNumId w:val="7"/>
  </w:num>
  <w:num w:numId="31" w16cid:durableId="404492953">
    <w:abstractNumId w:val="23"/>
  </w:num>
  <w:num w:numId="32" w16cid:durableId="719086146">
    <w:abstractNumId w:val="10"/>
  </w:num>
  <w:num w:numId="33" w16cid:durableId="100490675">
    <w:abstractNumId w:val="33"/>
  </w:num>
  <w:num w:numId="34" w16cid:durableId="429131214">
    <w:abstractNumId w:val="35"/>
  </w:num>
  <w:num w:numId="35" w16cid:durableId="1707753583">
    <w:abstractNumId w:val="28"/>
  </w:num>
  <w:num w:numId="36" w16cid:durableId="1469586847">
    <w:abstractNumId w:val="21"/>
  </w:num>
  <w:num w:numId="37" w16cid:durableId="1266884934">
    <w:abstractNumId w:val="27"/>
  </w:num>
  <w:num w:numId="38" w16cid:durableId="116265286">
    <w:abstractNumId w:val="5"/>
  </w:num>
  <w:num w:numId="39" w16cid:durableId="1444954537">
    <w:abstractNumId w:val="30"/>
  </w:num>
  <w:num w:numId="40" w16cid:durableId="1938361662">
    <w:abstractNumId w:val="1"/>
  </w:num>
  <w:num w:numId="41" w16cid:durableId="54352029">
    <w:abstractNumId w:val="4"/>
    <w:lvlOverride w:ilvl="0">
      <w:startOverride w:val="2"/>
    </w:lvlOverride>
    <w:lvlOverride w:ilvl="1"/>
  </w:num>
  <w:num w:numId="42" w16cid:durableId="807940629">
    <w:abstractNumId w:val="13"/>
  </w:num>
  <w:num w:numId="43" w16cid:durableId="2144154084">
    <w:abstractNumId w:val="4"/>
  </w:num>
  <w:num w:numId="44" w16cid:durableId="1715233927">
    <w:abstractNumId w:val="4"/>
  </w:num>
  <w:num w:numId="45" w16cid:durableId="2687648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7985"/>
    <w:rsid w:val="0002155B"/>
    <w:rsid w:val="00030391"/>
    <w:rsid w:val="000425F7"/>
    <w:rsid w:val="000436FC"/>
    <w:rsid w:val="0005471A"/>
    <w:rsid w:val="00066E58"/>
    <w:rsid w:val="00085903"/>
    <w:rsid w:val="000B1811"/>
    <w:rsid w:val="000B61AC"/>
    <w:rsid w:val="000C29CC"/>
    <w:rsid w:val="000C48D8"/>
    <w:rsid w:val="000C6874"/>
    <w:rsid w:val="000D441F"/>
    <w:rsid w:val="000E1223"/>
    <w:rsid w:val="000F4E58"/>
    <w:rsid w:val="000F55BA"/>
    <w:rsid w:val="000F7FDE"/>
    <w:rsid w:val="001000FC"/>
    <w:rsid w:val="00101904"/>
    <w:rsid w:val="0011122C"/>
    <w:rsid w:val="001206C4"/>
    <w:rsid w:val="001222EA"/>
    <w:rsid w:val="001226C2"/>
    <w:rsid w:val="00134EFF"/>
    <w:rsid w:val="0014521E"/>
    <w:rsid w:val="0014561E"/>
    <w:rsid w:val="001729A9"/>
    <w:rsid w:val="00190C24"/>
    <w:rsid w:val="001C11D2"/>
    <w:rsid w:val="001C25F9"/>
    <w:rsid w:val="001C43F0"/>
    <w:rsid w:val="001E70E9"/>
    <w:rsid w:val="001F2B12"/>
    <w:rsid w:val="001F3A36"/>
    <w:rsid w:val="0020495F"/>
    <w:rsid w:val="00211A10"/>
    <w:rsid w:val="00227C27"/>
    <w:rsid w:val="002371F7"/>
    <w:rsid w:val="0024520B"/>
    <w:rsid w:val="002706E8"/>
    <w:rsid w:val="002710E9"/>
    <w:rsid w:val="002735B7"/>
    <w:rsid w:val="00273E87"/>
    <w:rsid w:val="00280749"/>
    <w:rsid w:val="002B15E5"/>
    <w:rsid w:val="002B5219"/>
    <w:rsid w:val="002B7607"/>
    <w:rsid w:val="002C3A02"/>
    <w:rsid w:val="002C47FC"/>
    <w:rsid w:val="002C64E6"/>
    <w:rsid w:val="002D17A1"/>
    <w:rsid w:val="002D2169"/>
    <w:rsid w:val="002D2D4F"/>
    <w:rsid w:val="002E1B2E"/>
    <w:rsid w:val="002E3E34"/>
    <w:rsid w:val="002F78A2"/>
    <w:rsid w:val="00320670"/>
    <w:rsid w:val="003267DF"/>
    <w:rsid w:val="00337EAA"/>
    <w:rsid w:val="00352363"/>
    <w:rsid w:val="00355E78"/>
    <w:rsid w:val="0038096F"/>
    <w:rsid w:val="00385A56"/>
    <w:rsid w:val="0039660F"/>
    <w:rsid w:val="00396D5E"/>
    <w:rsid w:val="003975D2"/>
    <w:rsid w:val="003B1D95"/>
    <w:rsid w:val="003B361F"/>
    <w:rsid w:val="003C33FE"/>
    <w:rsid w:val="003C632B"/>
    <w:rsid w:val="003D33F7"/>
    <w:rsid w:val="003D540F"/>
    <w:rsid w:val="003D746B"/>
    <w:rsid w:val="003E4E08"/>
    <w:rsid w:val="003E5C52"/>
    <w:rsid w:val="003F643A"/>
    <w:rsid w:val="00402CFC"/>
    <w:rsid w:val="00403EF1"/>
    <w:rsid w:val="00404BCA"/>
    <w:rsid w:val="00416A49"/>
    <w:rsid w:val="00435AC1"/>
    <w:rsid w:val="00442FE1"/>
    <w:rsid w:val="004468D2"/>
    <w:rsid w:val="004562DA"/>
    <w:rsid w:val="00476A07"/>
    <w:rsid w:val="00486F3A"/>
    <w:rsid w:val="004A3EFD"/>
    <w:rsid w:val="004A5E19"/>
    <w:rsid w:val="004C4EE0"/>
    <w:rsid w:val="004C62ED"/>
    <w:rsid w:val="004E5A25"/>
    <w:rsid w:val="004E62A1"/>
    <w:rsid w:val="00537A4A"/>
    <w:rsid w:val="00540992"/>
    <w:rsid w:val="00541179"/>
    <w:rsid w:val="00543A32"/>
    <w:rsid w:val="00545E7E"/>
    <w:rsid w:val="00555585"/>
    <w:rsid w:val="0055582F"/>
    <w:rsid w:val="00555C3B"/>
    <w:rsid w:val="00570EFC"/>
    <w:rsid w:val="005A28EB"/>
    <w:rsid w:val="005B0EC5"/>
    <w:rsid w:val="005B79A8"/>
    <w:rsid w:val="005C4B83"/>
    <w:rsid w:val="005C68D9"/>
    <w:rsid w:val="005F4331"/>
    <w:rsid w:val="005F7E6D"/>
    <w:rsid w:val="0062040F"/>
    <w:rsid w:val="006239A5"/>
    <w:rsid w:val="00636B71"/>
    <w:rsid w:val="006420CC"/>
    <w:rsid w:val="00642546"/>
    <w:rsid w:val="00646AE8"/>
    <w:rsid w:val="00672747"/>
    <w:rsid w:val="006811B6"/>
    <w:rsid w:val="006862A5"/>
    <w:rsid w:val="006A1D04"/>
    <w:rsid w:val="006A4A91"/>
    <w:rsid w:val="006C3D8E"/>
    <w:rsid w:val="006F0011"/>
    <w:rsid w:val="006F1B8A"/>
    <w:rsid w:val="007274E7"/>
    <w:rsid w:val="00731D5A"/>
    <w:rsid w:val="007360C6"/>
    <w:rsid w:val="00737219"/>
    <w:rsid w:val="00792FC7"/>
    <w:rsid w:val="007B4E7E"/>
    <w:rsid w:val="007B589C"/>
    <w:rsid w:val="007D023E"/>
    <w:rsid w:val="007D0BEA"/>
    <w:rsid w:val="007D3462"/>
    <w:rsid w:val="0080579A"/>
    <w:rsid w:val="00816B29"/>
    <w:rsid w:val="008171D4"/>
    <w:rsid w:val="0083235D"/>
    <w:rsid w:val="00834179"/>
    <w:rsid w:val="0084602D"/>
    <w:rsid w:val="00852BD5"/>
    <w:rsid w:val="00864110"/>
    <w:rsid w:val="008641E2"/>
    <w:rsid w:val="00867113"/>
    <w:rsid w:val="00870732"/>
    <w:rsid w:val="00872EE3"/>
    <w:rsid w:val="0088002B"/>
    <w:rsid w:val="00882017"/>
    <w:rsid w:val="00887A49"/>
    <w:rsid w:val="008A4FA7"/>
    <w:rsid w:val="008A7AFC"/>
    <w:rsid w:val="008B4649"/>
    <w:rsid w:val="008B474E"/>
    <w:rsid w:val="00907963"/>
    <w:rsid w:val="009222D8"/>
    <w:rsid w:val="009308AB"/>
    <w:rsid w:val="00931647"/>
    <w:rsid w:val="00936613"/>
    <w:rsid w:val="0094041B"/>
    <w:rsid w:val="00956995"/>
    <w:rsid w:val="0096078C"/>
    <w:rsid w:val="009647EE"/>
    <w:rsid w:val="0096595E"/>
    <w:rsid w:val="009659AB"/>
    <w:rsid w:val="00973B0B"/>
    <w:rsid w:val="00980B78"/>
    <w:rsid w:val="009A5056"/>
    <w:rsid w:val="009A6215"/>
    <w:rsid w:val="009A7275"/>
    <w:rsid w:val="009B4C32"/>
    <w:rsid w:val="009B7893"/>
    <w:rsid w:val="009E5EE5"/>
    <w:rsid w:val="009E6AA2"/>
    <w:rsid w:val="009F02B3"/>
    <w:rsid w:val="00A25384"/>
    <w:rsid w:val="00A25FB3"/>
    <w:rsid w:val="00A36618"/>
    <w:rsid w:val="00A37A8D"/>
    <w:rsid w:val="00A40883"/>
    <w:rsid w:val="00A47F67"/>
    <w:rsid w:val="00A65710"/>
    <w:rsid w:val="00A86680"/>
    <w:rsid w:val="00AB0A25"/>
    <w:rsid w:val="00AC4E79"/>
    <w:rsid w:val="00AC555D"/>
    <w:rsid w:val="00AD2501"/>
    <w:rsid w:val="00AD5F26"/>
    <w:rsid w:val="00AE022D"/>
    <w:rsid w:val="00AF7DD9"/>
    <w:rsid w:val="00B04635"/>
    <w:rsid w:val="00B2314B"/>
    <w:rsid w:val="00B30EA8"/>
    <w:rsid w:val="00B33337"/>
    <w:rsid w:val="00B477C2"/>
    <w:rsid w:val="00B613E4"/>
    <w:rsid w:val="00B62F52"/>
    <w:rsid w:val="00B631D6"/>
    <w:rsid w:val="00B639CA"/>
    <w:rsid w:val="00B70170"/>
    <w:rsid w:val="00B81D6C"/>
    <w:rsid w:val="00B8417F"/>
    <w:rsid w:val="00B8699D"/>
    <w:rsid w:val="00B9771E"/>
    <w:rsid w:val="00BB72E5"/>
    <w:rsid w:val="00BC4AA9"/>
    <w:rsid w:val="00BC6556"/>
    <w:rsid w:val="00BD0F68"/>
    <w:rsid w:val="00BD2974"/>
    <w:rsid w:val="00C07E26"/>
    <w:rsid w:val="00C12777"/>
    <w:rsid w:val="00C31759"/>
    <w:rsid w:val="00C33A93"/>
    <w:rsid w:val="00C51A70"/>
    <w:rsid w:val="00C51D08"/>
    <w:rsid w:val="00C75C2F"/>
    <w:rsid w:val="00CA1D68"/>
    <w:rsid w:val="00CA66DC"/>
    <w:rsid w:val="00CB07AD"/>
    <w:rsid w:val="00CB609F"/>
    <w:rsid w:val="00CC400F"/>
    <w:rsid w:val="00CC4D5D"/>
    <w:rsid w:val="00CC7632"/>
    <w:rsid w:val="00CD57A1"/>
    <w:rsid w:val="00CD793C"/>
    <w:rsid w:val="00D01CD2"/>
    <w:rsid w:val="00D13431"/>
    <w:rsid w:val="00D17E6A"/>
    <w:rsid w:val="00D17E7D"/>
    <w:rsid w:val="00D23470"/>
    <w:rsid w:val="00D40249"/>
    <w:rsid w:val="00D412BA"/>
    <w:rsid w:val="00D75050"/>
    <w:rsid w:val="00D842DF"/>
    <w:rsid w:val="00D931AD"/>
    <w:rsid w:val="00D94442"/>
    <w:rsid w:val="00DC5E03"/>
    <w:rsid w:val="00DC7BE5"/>
    <w:rsid w:val="00DD5973"/>
    <w:rsid w:val="00DE04A7"/>
    <w:rsid w:val="00DE1E49"/>
    <w:rsid w:val="00DF17AC"/>
    <w:rsid w:val="00DF2836"/>
    <w:rsid w:val="00E04344"/>
    <w:rsid w:val="00E3336E"/>
    <w:rsid w:val="00E410C6"/>
    <w:rsid w:val="00E42000"/>
    <w:rsid w:val="00E441D6"/>
    <w:rsid w:val="00E47FB8"/>
    <w:rsid w:val="00E872C5"/>
    <w:rsid w:val="00EA2EFC"/>
    <w:rsid w:val="00EC52A1"/>
    <w:rsid w:val="00ED58D1"/>
    <w:rsid w:val="00ED791B"/>
    <w:rsid w:val="00EF474F"/>
    <w:rsid w:val="00EF4AC5"/>
    <w:rsid w:val="00F16981"/>
    <w:rsid w:val="00F25D68"/>
    <w:rsid w:val="00F367B3"/>
    <w:rsid w:val="00F37CA9"/>
    <w:rsid w:val="00F40856"/>
    <w:rsid w:val="00F43573"/>
    <w:rsid w:val="00F447A2"/>
    <w:rsid w:val="00F52025"/>
    <w:rsid w:val="00F52663"/>
    <w:rsid w:val="00F60A63"/>
    <w:rsid w:val="00F81184"/>
    <w:rsid w:val="00F902EF"/>
    <w:rsid w:val="00FA47EF"/>
    <w:rsid w:val="00FA4B57"/>
    <w:rsid w:val="00FE1554"/>
    <w:rsid w:val="00FE6C82"/>
    <w:rsid w:val="00FF2020"/>
    <w:rsid w:val="00FF696B"/>
    <w:rsid w:val="2B9C968E"/>
    <w:rsid w:val="2D6F3CB0"/>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3C632B"/>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3C632B"/>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3C632B"/>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3C632B"/>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1"/>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numPr>
        <w:numId w:val="4"/>
      </w:numPr>
      <w:spacing w:before="60" w:after="60"/>
    </w:pPr>
    <w:rPr>
      <w:rFonts w:ascii="Arial" w:eastAsiaTheme="minorHAnsi" w:hAnsi="Arial"/>
      <w:color w:val="FFC000" w:themeColor="accent4"/>
      <w:szCs w:val="18"/>
    </w:rPr>
  </w:style>
  <w:style w:type="paragraph" w:styleId="BodyText">
    <w:name w:val="Body Text"/>
    <w:basedOn w:val="Normal"/>
    <w:link w:val="BodyTextChar"/>
    <w:uiPriority w:val="99"/>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99"/>
    <w:semiHidden/>
    <w:unhideWhenUsed/>
    <w:rsid w:val="006862A5"/>
    <w:pPr>
      <w:numPr>
        <w:numId w:val="7"/>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9608E8C9CA23461CBF55E65BEE5C46E6"/>
        <w:category>
          <w:name w:val="General"/>
          <w:gallery w:val="placeholder"/>
        </w:category>
        <w:types>
          <w:type w:val="bbPlcHdr"/>
        </w:types>
        <w:behaviors>
          <w:behavior w:val="content"/>
        </w:behaviors>
        <w:guid w:val="{AD77C6AB-74DA-4ADB-AB4C-3FE822389F55}"/>
      </w:docPartPr>
      <w:docPartBody>
        <w:p w:rsidR="00F40856" w:rsidRDefault="00F40856" w:rsidP="00F40856">
          <w:pPr>
            <w:pStyle w:val="9608E8C9CA23461CBF55E65BEE5C46E6"/>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3E053B"/>
    <w:rsid w:val="004C4EE0"/>
    <w:rsid w:val="005647B7"/>
    <w:rsid w:val="006A4A91"/>
    <w:rsid w:val="007077D2"/>
    <w:rsid w:val="0084778E"/>
    <w:rsid w:val="00B639CA"/>
    <w:rsid w:val="00B80251"/>
    <w:rsid w:val="00D40249"/>
    <w:rsid w:val="00F40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856"/>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9608E8C9CA23461CBF55E65BEE5C46E6">
    <w:name w:val="9608E8C9CA23461CBF55E65BEE5C46E6"/>
    <w:rsid w:val="00F40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infopath/2007/PartnerControls"/>
    <ds:schemaRef ds:uri="658a648c-f9ea-4a2f-975b-7ce25bdb4b8c"/>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0bc9e18d-4312-45e6-b82d-a02b142c0076"/>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6</Pages>
  <Words>1567</Words>
  <Characters>9042</Characters>
  <Application>Microsoft Office Word</Application>
  <DocSecurity>0</DocSecurity>
  <Lines>237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Advisory Services – Peer Review – Financial and Commercial Analysis</dc:subject>
  <dc:creator>Lydia Poteri</dc:creator>
  <cp:keywords/>
  <dc:description/>
  <cp:lastModifiedBy>Lydia Poteri</cp:lastModifiedBy>
  <cp:revision>67</cp:revision>
  <cp:lastPrinted>2025-08-07T22:04:00Z</cp:lastPrinted>
  <dcterms:created xsi:type="dcterms:W3CDTF">2025-12-16T19:54:00Z</dcterms:created>
  <dcterms:modified xsi:type="dcterms:W3CDTF">2025-12-22T05:24:00Z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