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987E" w14:textId="11AF0D17" w:rsidR="003C632B" w:rsidRPr="003C632B" w:rsidRDefault="00153F2C" w:rsidP="003C632B">
      <w:pPr>
        <w:spacing w:before="120"/>
        <w:rPr>
          <w:rStyle w:val="UltraHeadingChar"/>
        </w:rPr>
      </w:pPr>
      <w:sdt>
        <w:sdtPr>
          <w:rPr>
            <w:rStyle w:val="UltraHeadingChar"/>
          </w:rPr>
          <w:alias w:val="Title"/>
          <w:id w:val="1429458839"/>
          <w:placeholder>
            <w:docPart w:val="DD62456B9CEB43F4A99E96AED49D11DE"/>
          </w:placeholder>
          <w:dataBinding w:prefixMappings="xmlns:ns0='http://purl.org/dc/elements/1.1/' xmlns:ns1='http://schemas.openxmlformats.org/package/2006/metadata/core-properties' " w:xpath="/ns1:coreProperties[1]/ns0:title[1]" w:storeItemID="{6C3C8BC8-F283-45AE-878A-BAB7291924A1}"/>
          <w:text/>
        </w:sdtPr>
        <w:sdtEndPr>
          <w:rPr>
            <w:rStyle w:val="UltraHeadingChar"/>
          </w:rPr>
        </w:sdtEndPr>
        <w:sdtContent>
          <w:r w:rsidR="003C632B" w:rsidRPr="003C632B">
            <w:rPr>
              <w:rStyle w:val="UltraHeadingChar"/>
            </w:rPr>
            <w:t>Scope of Services</w:t>
          </w:r>
        </w:sdtContent>
      </w:sdt>
    </w:p>
    <w:p w14:paraId="10890A2B" w14:textId="23454189" w:rsidR="003C632B" w:rsidRPr="003C632B" w:rsidRDefault="00153F2C" w:rsidP="003C632B">
      <w:pPr>
        <w:spacing w:before="120"/>
        <w:rPr>
          <w:rStyle w:val="Heading1Char"/>
        </w:rPr>
      </w:pPr>
      <w:sdt>
        <w:sdtPr>
          <w:rPr>
            <w:rStyle w:val="Heading1Char"/>
          </w:rPr>
          <w:alias w:val="Subject"/>
          <w:id w:val="1066618773"/>
          <w:placeholder>
            <w:docPart w:val="E1B1F677563D43938B107E74EB83C434"/>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5E4936">
            <w:rPr>
              <w:rStyle w:val="Heading1Char"/>
            </w:rPr>
            <w:t>Stakeholder Engagement, Communications and Social Impact Evaluation Services</w:t>
          </w:r>
        </w:sdtContent>
      </w:sdt>
    </w:p>
    <w:tbl>
      <w:tblPr>
        <w:tblStyle w:val="TableGrid1"/>
        <w:tblW w:w="0" w:type="auto"/>
        <w:tblInd w:w="0" w:type="dxa"/>
        <w:tblLook w:val="04A0" w:firstRow="1" w:lastRow="0" w:firstColumn="1" w:lastColumn="0" w:noHBand="0" w:noVBand="1"/>
      </w:tblPr>
      <w:tblGrid>
        <w:gridCol w:w="9628"/>
      </w:tblGrid>
      <w:tr w:rsidR="003C632B" w:rsidRPr="003C632B" w14:paraId="31FE4B04" w14:textId="77777777">
        <w:tc>
          <w:tcPr>
            <w:tcW w:w="9628" w:type="dxa"/>
            <w:tcBorders>
              <w:top w:val="single" w:sz="4" w:space="0" w:color="auto"/>
              <w:left w:val="single" w:sz="4" w:space="0" w:color="auto"/>
              <w:bottom w:val="single" w:sz="4" w:space="0" w:color="auto"/>
              <w:right w:val="single" w:sz="4" w:space="0" w:color="auto"/>
            </w:tcBorders>
          </w:tcPr>
          <w:p w14:paraId="7457D8C7" w14:textId="5F210664" w:rsidR="003C632B" w:rsidRPr="0014561E" w:rsidRDefault="005A1334" w:rsidP="003C632B">
            <w:pPr>
              <w:spacing w:before="120"/>
              <w:rPr>
                <w:rFonts w:eastAsia="Arial" w:cs="Noto Sans"/>
                <w:b/>
              </w:rPr>
            </w:pPr>
            <w:r w:rsidRPr="0014561E">
              <w:rPr>
                <w:rFonts w:eastAsia="Arial" w:cs="Noto Sans"/>
                <w:b/>
              </w:rPr>
              <w:t xml:space="preserve">Instructions for using this document </w:t>
            </w:r>
          </w:p>
          <w:p w14:paraId="69243D3B" w14:textId="1C716468" w:rsidR="003C632B" w:rsidRPr="0014561E" w:rsidRDefault="005A1334" w:rsidP="003C632B">
            <w:pPr>
              <w:spacing w:before="120"/>
              <w:rPr>
                <w:rFonts w:eastAsia="Arial" w:cs="Noto Sans"/>
                <w:b/>
              </w:rPr>
            </w:pPr>
            <w:r w:rsidRPr="0014561E">
              <w:rPr>
                <w:rFonts w:eastAsia="Arial" w:cs="Noto Sans"/>
                <w:b/>
                <w:highlight w:val="cyan"/>
              </w:rPr>
              <w:t>(</w:t>
            </w:r>
            <w:proofErr w:type="gramStart"/>
            <w:r>
              <w:rPr>
                <w:rFonts w:eastAsia="Arial" w:cs="Noto Sans"/>
                <w:b/>
                <w:highlight w:val="cyan"/>
              </w:rPr>
              <w:t>T</w:t>
            </w:r>
            <w:r w:rsidRPr="0014561E">
              <w:rPr>
                <w:rFonts w:eastAsia="Arial" w:cs="Noto Sans"/>
                <w:b/>
                <w:highlight w:val="cyan"/>
              </w:rPr>
              <w:t>his entire instructions</w:t>
            </w:r>
            <w:proofErr w:type="gramEnd"/>
            <w:r w:rsidRPr="0014561E">
              <w:rPr>
                <w:rFonts w:eastAsia="Arial" w:cs="Noto Sans"/>
                <w:b/>
                <w:highlight w:val="cyan"/>
              </w:rPr>
              <w:t xml:space="preserve"> box is to be deleted before sending to potential suppliers):</w:t>
            </w:r>
            <w:r w:rsidR="003C632B" w:rsidRPr="0014561E">
              <w:rPr>
                <w:rFonts w:eastAsia="Arial" w:cs="Noto Sans"/>
                <w:b/>
              </w:rPr>
              <w:t xml:space="preserve"> </w:t>
            </w:r>
          </w:p>
          <w:p w14:paraId="13193C53" w14:textId="77777777" w:rsidR="000F20BA" w:rsidRPr="000F20BA" w:rsidRDefault="000F20BA" w:rsidP="000F20BA">
            <w:pPr>
              <w:pStyle w:val="ListBullet"/>
              <w:numPr>
                <w:ilvl w:val="0"/>
                <w:numId w:val="3"/>
              </w:numPr>
              <w:rPr>
                <w:rFonts w:ascii="Noto Sans" w:hAnsi="Noto Sans" w:cs="Noto Sans"/>
                <w:color w:val="auto"/>
              </w:rPr>
            </w:pPr>
            <w:r w:rsidRPr="000F20BA">
              <w:rPr>
                <w:rFonts w:ascii="Noto Sans" w:hAnsi="Noto Sans" w:cs="Noto Sans"/>
                <w:color w:val="auto"/>
              </w:rPr>
              <w:t xml:space="preserve">This is the standard Scope of Services for an Invitation to Offer (ITO) for the procurement of Stakeholder Engagement, Communications and Social Impact Evaluation Services. </w:t>
            </w:r>
          </w:p>
          <w:p w14:paraId="4A2C032F" w14:textId="77777777" w:rsidR="000F20BA" w:rsidRPr="000F20BA" w:rsidRDefault="000F20BA" w:rsidP="000F20BA">
            <w:pPr>
              <w:pStyle w:val="ListBullet"/>
              <w:numPr>
                <w:ilvl w:val="0"/>
                <w:numId w:val="3"/>
              </w:numPr>
              <w:rPr>
                <w:rFonts w:ascii="Noto Sans" w:hAnsi="Noto Sans" w:cs="Noto Sans"/>
                <w:color w:val="auto"/>
              </w:rPr>
            </w:pPr>
            <w:r w:rsidRPr="000F20BA">
              <w:rPr>
                <w:rFonts w:ascii="Noto Sans" w:hAnsi="Noto Sans" w:cs="Noto Sans"/>
                <w:color w:val="auto"/>
              </w:rPr>
              <w:t xml:space="preserve">Edit all </w:t>
            </w:r>
            <w:r w:rsidRPr="000F20BA">
              <w:rPr>
                <w:rFonts w:ascii="Noto Sans" w:hAnsi="Noto Sans" w:cs="Noto Sans"/>
                <w:color w:val="auto"/>
                <w:highlight w:val="yellow"/>
              </w:rPr>
              <w:t>&lt;&lt;yellow highlighted&gt;&gt;</w:t>
            </w:r>
            <w:r w:rsidRPr="000F20BA">
              <w:rPr>
                <w:rFonts w:ascii="Noto Sans" w:hAnsi="Noto Sans" w:cs="Noto Sans"/>
                <w:color w:val="auto"/>
              </w:rPr>
              <w:t xml:space="preserve"> sections - providing details relevant to your agency’s requirements and remove all highlighting when complete.</w:t>
            </w:r>
          </w:p>
          <w:p w14:paraId="15830369" w14:textId="77777777" w:rsidR="000F20BA" w:rsidRPr="000F20BA" w:rsidRDefault="000F20BA" w:rsidP="000F20BA">
            <w:pPr>
              <w:pStyle w:val="ListBullet"/>
              <w:numPr>
                <w:ilvl w:val="0"/>
                <w:numId w:val="3"/>
              </w:numPr>
              <w:rPr>
                <w:rFonts w:ascii="Noto Sans" w:hAnsi="Noto Sans" w:cs="Noto Sans"/>
                <w:color w:val="auto"/>
              </w:rPr>
            </w:pPr>
            <w:r w:rsidRPr="000F20BA">
              <w:rPr>
                <w:rFonts w:ascii="Noto Sans" w:hAnsi="Noto Sans" w:cs="Noto Sans"/>
                <w:color w:val="auto"/>
              </w:rPr>
              <w:t xml:space="preserve">Delete all </w:t>
            </w:r>
            <w:r w:rsidRPr="000F20BA">
              <w:rPr>
                <w:rFonts w:ascii="Noto Sans" w:hAnsi="Noto Sans" w:cs="Noto Sans"/>
                <w:color w:val="auto"/>
                <w:highlight w:val="cyan"/>
              </w:rPr>
              <w:t>cyan highlighted text</w:t>
            </w:r>
            <w:r w:rsidRPr="000F20BA">
              <w:rPr>
                <w:rFonts w:ascii="Noto Sans" w:hAnsi="Noto Sans" w:cs="Noto Sans"/>
                <w:color w:val="auto"/>
              </w:rPr>
              <w:t xml:space="preserve"> and references to Drafting Notes before issuing to potential Suppliers.</w:t>
            </w:r>
          </w:p>
          <w:p w14:paraId="5E2684BF" w14:textId="77777777" w:rsidR="000F20BA" w:rsidRPr="000F20BA" w:rsidRDefault="000F20BA" w:rsidP="000F20BA">
            <w:pPr>
              <w:pStyle w:val="ListBullet"/>
              <w:numPr>
                <w:ilvl w:val="0"/>
                <w:numId w:val="3"/>
              </w:numPr>
              <w:rPr>
                <w:rFonts w:ascii="Noto Sans" w:hAnsi="Noto Sans" w:cs="Noto Sans"/>
                <w:color w:val="auto"/>
              </w:rPr>
            </w:pPr>
            <w:r w:rsidRPr="000F20BA">
              <w:rPr>
                <w:rFonts w:ascii="Noto Sans" w:hAnsi="Noto Sans" w:cs="Noto Sans"/>
                <w:color w:val="auto"/>
              </w:rPr>
              <w:t xml:space="preserve">Careful consideration needs to be given to ensure the Scope of Services is tailored to suit the business case requirements. This document should be amended to reflect the known and/or anticipated requirements. </w:t>
            </w:r>
          </w:p>
          <w:p w14:paraId="06BF76AC" w14:textId="77777777" w:rsidR="000F20BA" w:rsidRPr="000F20BA" w:rsidRDefault="000F20BA" w:rsidP="000F20BA">
            <w:pPr>
              <w:pStyle w:val="ListBullet"/>
              <w:numPr>
                <w:ilvl w:val="0"/>
                <w:numId w:val="3"/>
              </w:numPr>
              <w:rPr>
                <w:rFonts w:ascii="Noto Sans" w:hAnsi="Noto Sans" w:cs="Noto Sans"/>
                <w:color w:val="auto"/>
              </w:rPr>
            </w:pPr>
            <w:r w:rsidRPr="000F20BA">
              <w:rPr>
                <w:rFonts w:ascii="Noto Sans" w:hAnsi="Noto Sans" w:cs="Noto Sans"/>
                <w:color w:val="auto"/>
              </w:rPr>
              <w:t>The ITO cover sheet</w:t>
            </w:r>
            <w:r w:rsidRPr="000F20BA">
              <w:rPr>
                <w:rFonts w:ascii="Noto Sans" w:hAnsi="Noto Sans" w:cs="Noto Sans"/>
                <w:b/>
                <w:color w:val="auto"/>
              </w:rPr>
              <w:t xml:space="preserve"> </w:t>
            </w:r>
            <w:r w:rsidRPr="000F20BA">
              <w:rPr>
                <w:rFonts w:ascii="Noto Sans" w:hAnsi="Noto Sans" w:cs="Noto Sans"/>
                <w:bCs/>
                <w:color w:val="auto"/>
              </w:rPr>
              <w:t>covers generic information to the proposal (background, announcements, etc.) and ITO process information (closing dates, clarification process, evaluation criteria).</w:t>
            </w:r>
            <w:r w:rsidRPr="000F20BA">
              <w:rPr>
                <w:rFonts w:ascii="Noto Sans" w:hAnsi="Noto Sans" w:cs="Noto Sans"/>
                <w:b/>
                <w:color w:val="auto"/>
              </w:rPr>
              <w:t xml:space="preserve"> </w:t>
            </w:r>
          </w:p>
          <w:p w14:paraId="7A384B72" w14:textId="77777777" w:rsidR="000F20BA" w:rsidRPr="000F20BA" w:rsidRDefault="000F20BA" w:rsidP="000F20BA">
            <w:pPr>
              <w:pStyle w:val="ListBullet"/>
              <w:numPr>
                <w:ilvl w:val="0"/>
                <w:numId w:val="3"/>
              </w:numPr>
              <w:rPr>
                <w:rFonts w:ascii="Noto Sans" w:hAnsi="Noto Sans" w:cs="Noto Sans"/>
                <w:color w:val="auto"/>
              </w:rPr>
            </w:pPr>
            <w:r w:rsidRPr="000F20BA">
              <w:rPr>
                <w:rFonts w:ascii="Noto Sans" w:hAnsi="Noto Sans" w:cs="Noto Sans"/>
                <w:color w:val="auto"/>
              </w:rPr>
              <w:t xml:space="preserve">This Scope of Services should only include information related to the </w:t>
            </w:r>
            <w:r w:rsidRPr="000F20BA">
              <w:rPr>
                <w:rFonts w:ascii="Noto Sans" w:hAnsi="Noto Sans" w:cs="Noto Sans"/>
                <w:b/>
                <w:bCs/>
                <w:color w:val="auto"/>
              </w:rPr>
              <w:t>Stakeholder Engagement, Communications and Social Impact Evaluation Services</w:t>
            </w:r>
            <w:r w:rsidRPr="000F20BA">
              <w:rPr>
                <w:rFonts w:ascii="Noto Sans" w:hAnsi="Noto Sans" w:cs="Noto Sans"/>
                <w:color w:val="auto"/>
              </w:rPr>
              <w:t xml:space="preserve"> role requirements in delivering the business case and is to be developed separately to the ITO cover sheet (see separate template).</w:t>
            </w:r>
          </w:p>
          <w:p w14:paraId="5CB33FA3" w14:textId="77777777" w:rsidR="000F20BA" w:rsidRPr="000F20BA" w:rsidRDefault="000F20BA" w:rsidP="000F20BA">
            <w:pPr>
              <w:pStyle w:val="ListBullet"/>
              <w:numPr>
                <w:ilvl w:val="0"/>
                <w:numId w:val="3"/>
              </w:numPr>
              <w:rPr>
                <w:rFonts w:ascii="Noto Sans" w:hAnsi="Noto Sans" w:cs="Noto Sans"/>
                <w:color w:val="auto"/>
              </w:rPr>
            </w:pPr>
            <w:r w:rsidRPr="000F20BA">
              <w:rPr>
                <w:rFonts w:ascii="Noto Sans" w:hAnsi="Noto Sans" w:cs="Noto Sans"/>
                <w:color w:val="auto"/>
              </w:rPr>
              <w:t xml:space="preserve">Consideration should be given to providing additional information that assists potential suppliers in responding to this ITO. Generally, providing greater detail means that suppliers are unlikely to reflect the perceived risks in their offer and allows greater opportunity for better value for money offers. </w:t>
            </w:r>
          </w:p>
          <w:p w14:paraId="3865154C" w14:textId="77777777" w:rsidR="003C632B" w:rsidRPr="003C632B" w:rsidRDefault="003C632B" w:rsidP="003C632B">
            <w:pPr>
              <w:tabs>
                <w:tab w:val="left" w:pos="1134"/>
              </w:tabs>
              <w:spacing w:before="240"/>
              <w:outlineLvl w:val="3"/>
              <w:rPr>
                <w:rFonts w:eastAsia="Times New Roman" w:cs="Noto Sans"/>
                <w:bCs/>
                <w:iCs/>
                <w:sz w:val="28"/>
                <w:szCs w:val="24"/>
              </w:rPr>
            </w:pPr>
            <w:r w:rsidRPr="003C632B">
              <w:rPr>
                <w:rFonts w:eastAsia="Times New Roman" w:cs="Noto Sans"/>
                <w:bCs/>
                <w:iCs/>
                <w:sz w:val="28"/>
                <w:szCs w:val="24"/>
              </w:rPr>
              <w:t>Creative Commons licence</w:t>
            </w:r>
          </w:p>
          <w:p w14:paraId="18EECB0B" w14:textId="77777777" w:rsidR="003C632B" w:rsidRPr="00E04344" w:rsidRDefault="003C632B" w:rsidP="003C632B">
            <w:pPr>
              <w:spacing w:after="0"/>
              <w:contextualSpacing/>
              <w:rPr>
                <w:rFonts w:eastAsia="Arial" w:cs="Noto Sans"/>
                <w:sz w:val="16"/>
              </w:rPr>
            </w:pPr>
            <w:r w:rsidRPr="00E04344">
              <w:rPr>
                <w:rFonts w:eastAsia="Arial" w:cs="Noto Sans"/>
                <w:noProof/>
              </w:rPr>
              <w:drawing>
                <wp:anchor distT="0" distB="0" distL="114300" distR="114300" simplePos="0" relativeHeight="251658240" behindDoc="0" locked="0" layoutInCell="1" allowOverlap="1" wp14:anchorId="59F34557" wp14:editId="64B7F51E">
                  <wp:simplePos x="0" y="0"/>
                  <wp:positionH relativeFrom="column">
                    <wp:posOffset>1905</wp:posOffset>
                  </wp:positionH>
                  <wp:positionV relativeFrom="paragraph">
                    <wp:posOffset>5080</wp:posOffset>
                  </wp:positionV>
                  <wp:extent cx="956945" cy="337185"/>
                  <wp:effectExtent l="0" t="0" r="0" b="5715"/>
                  <wp:wrapSquare wrapText="bothSides"/>
                  <wp:docPr id="3" name="Picture 1" descr="Creative Commons Licenses - Creative Commons - Research Guides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s - Creative Commons - Research Guides a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945" cy="337185"/>
                          </a:xfrm>
                          <a:prstGeom prst="rect">
                            <a:avLst/>
                          </a:prstGeom>
                          <a:noFill/>
                        </pic:spPr>
                      </pic:pic>
                    </a:graphicData>
                  </a:graphic>
                  <wp14:sizeRelH relativeFrom="page">
                    <wp14:pctWidth>0</wp14:pctWidth>
                  </wp14:sizeRelH>
                  <wp14:sizeRelV relativeFrom="page">
                    <wp14:pctHeight>0</wp14:pctHeight>
                  </wp14:sizeRelV>
                </wp:anchor>
              </w:drawing>
            </w:r>
            <w:r w:rsidRPr="00E04344">
              <w:rPr>
                <w:rFonts w:eastAsia="Arial" w:cs="Noto Sans"/>
                <w:sz w:val="16"/>
              </w:rPr>
              <w:t xml:space="preserve">This work is made available under the Creative Commons CC0 1.0 Universal Public Domain Dedication. The person who associated a work with this deed has waived all copyright and </w:t>
            </w:r>
            <w:proofErr w:type="gramStart"/>
            <w:r w:rsidRPr="00E04344">
              <w:rPr>
                <w:rFonts w:eastAsia="Arial" w:cs="Noto Sans"/>
                <w:sz w:val="16"/>
              </w:rPr>
              <w:t>related or neighbouring rights to the work to the fullest extent</w:t>
            </w:r>
            <w:proofErr w:type="gramEnd"/>
            <w:r w:rsidRPr="00E04344">
              <w:rPr>
                <w:rFonts w:eastAsia="Arial" w:cs="Noto Sans"/>
                <w:sz w:val="16"/>
              </w:rPr>
              <w:t xml:space="preserve"> possible under law</w:t>
            </w:r>
          </w:p>
          <w:p w14:paraId="1BF034F2" w14:textId="77777777" w:rsidR="003C632B" w:rsidRPr="00E04344" w:rsidRDefault="003C632B" w:rsidP="003C632B">
            <w:pPr>
              <w:spacing w:after="0"/>
              <w:contextualSpacing/>
              <w:rPr>
                <w:rFonts w:eastAsia="Arial" w:cs="Noto Sans"/>
                <w:sz w:val="16"/>
              </w:rPr>
            </w:pPr>
          </w:p>
          <w:p w14:paraId="692BFA7C" w14:textId="77777777" w:rsidR="003C632B" w:rsidRPr="00E04344" w:rsidRDefault="003C632B" w:rsidP="003C632B">
            <w:pPr>
              <w:spacing w:after="0"/>
              <w:contextualSpacing/>
              <w:rPr>
                <w:rFonts w:eastAsia="Arial" w:cs="Noto Sans"/>
                <w:sz w:val="16"/>
              </w:rPr>
            </w:pPr>
            <w:r w:rsidRPr="00E04344">
              <w:rPr>
                <w:rFonts w:eastAsia="Arial" w:cs="Noto Sans"/>
                <w:sz w:val="16"/>
              </w:rPr>
              <w:t>Third party material that is not licensed under a Creative Commons licence is referenced within this document. All content not licensed under a Creative Commons licence is all rights reserved. Please contact the copyright owner if you wish to use this material.</w:t>
            </w:r>
          </w:p>
          <w:p w14:paraId="57354754" w14:textId="77777777" w:rsidR="003C632B" w:rsidRPr="003C632B" w:rsidRDefault="003C632B" w:rsidP="003C632B">
            <w:pPr>
              <w:spacing w:after="0"/>
              <w:contextualSpacing/>
              <w:rPr>
                <w:rFonts w:ascii="Arial" w:eastAsia="Arial" w:hAnsi="Arial"/>
                <w:sz w:val="16"/>
              </w:rPr>
            </w:pPr>
          </w:p>
        </w:tc>
      </w:tr>
    </w:tbl>
    <w:p w14:paraId="0390A8B5" w14:textId="258E54D6" w:rsidR="003C632B" w:rsidRPr="003C632B" w:rsidRDefault="003C632B" w:rsidP="005A1334">
      <w:pPr>
        <w:pStyle w:val="Heading1"/>
        <w:numPr>
          <w:ilvl w:val="0"/>
          <w:numId w:val="13"/>
        </w:numPr>
      </w:pPr>
      <w:r w:rsidRPr="003C632B">
        <w:t>Purpose</w:t>
      </w:r>
    </w:p>
    <w:p w14:paraId="685464C7" w14:textId="77777777" w:rsidR="001A2D1E" w:rsidRPr="001A2D1E" w:rsidRDefault="001A2D1E" w:rsidP="001A2D1E">
      <w:pPr>
        <w:pStyle w:val="BodyText"/>
        <w:rPr>
          <w:rFonts w:ascii="Noto Sans" w:hAnsi="Noto Sans" w:cs="Noto Sans"/>
          <w:color w:val="auto"/>
        </w:rPr>
      </w:pPr>
      <w:r w:rsidRPr="001A2D1E">
        <w:rPr>
          <w:rFonts w:ascii="Noto Sans" w:hAnsi="Noto Sans" w:cs="Noto Sans"/>
          <w:color w:val="auto"/>
        </w:rPr>
        <w:t xml:space="preserve">This Scope of Services for </w:t>
      </w:r>
      <w:r w:rsidRPr="001A2D1E">
        <w:rPr>
          <w:rFonts w:ascii="Noto Sans" w:hAnsi="Noto Sans" w:cs="Noto Sans"/>
          <w:color w:val="auto"/>
          <w:highlight w:val="yellow"/>
        </w:rPr>
        <w:t>Stakeholder Engagement, Communications and Social Impact Evaluation Services</w:t>
      </w:r>
      <w:r w:rsidRPr="001A2D1E">
        <w:rPr>
          <w:rFonts w:ascii="Noto Sans" w:hAnsi="Noto Sans" w:cs="Noto Sans"/>
          <w:color w:val="auto"/>
        </w:rPr>
        <w:t xml:space="preserve"> provides the detailed requirements requested under the covering Invitation to Offer (ITO) document (provided separately). This Scope of Services is provided to potential advisors to outline the services required and to assist them to complete their response.</w:t>
      </w:r>
    </w:p>
    <w:p w14:paraId="4FD1F6C1" w14:textId="77777777" w:rsidR="003C632B" w:rsidRPr="003C632B" w:rsidRDefault="003C632B" w:rsidP="005A1334">
      <w:pPr>
        <w:pStyle w:val="Heading1"/>
        <w:keepNext/>
        <w:widowControl/>
        <w:numPr>
          <w:ilvl w:val="0"/>
          <w:numId w:val="13"/>
        </w:numPr>
      </w:pPr>
      <w:r w:rsidRPr="003C632B">
        <w:t>Scope of Services</w:t>
      </w:r>
    </w:p>
    <w:p w14:paraId="44F4351C" w14:textId="7557B35B" w:rsidR="003C632B" w:rsidRDefault="003C632B" w:rsidP="005A1334">
      <w:pPr>
        <w:pStyle w:val="Heading2"/>
        <w:keepNext/>
        <w:numPr>
          <w:ilvl w:val="1"/>
          <w:numId w:val="13"/>
        </w:numPr>
        <w:rPr>
          <w:rFonts w:eastAsia="Times New Roman"/>
        </w:rPr>
      </w:pPr>
      <w:r w:rsidRPr="003C632B">
        <w:rPr>
          <w:rFonts w:eastAsia="Times New Roman"/>
        </w:rPr>
        <w:t>Introduction</w:t>
      </w:r>
    </w:p>
    <w:p w14:paraId="3F1F5071" w14:textId="77777777" w:rsidR="003830C9" w:rsidRPr="003830C9" w:rsidRDefault="003830C9" w:rsidP="003830C9">
      <w:pPr>
        <w:pStyle w:val="BodyText"/>
        <w:rPr>
          <w:rFonts w:ascii="Noto Sans" w:hAnsi="Noto Sans" w:cs="Noto Sans"/>
          <w:color w:val="auto"/>
        </w:rPr>
      </w:pPr>
      <w:r w:rsidRPr="003830C9">
        <w:rPr>
          <w:rFonts w:ascii="Noto Sans" w:hAnsi="Noto Sans" w:cs="Noto Sans"/>
          <w:color w:val="auto"/>
          <w:highlight w:val="yellow"/>
        </w:rPr>
        <w:lastRenderedPageBreak/>
        <w:t>&lt;&lt;Agency Name&gt;&gt;</w:t>
      </w:r>
      <w:r w:rsidRPr="003830C9">
        <w:rPr>
          <w:rFonts w:ascii="Noto Sans" w:hAnsi="Noto Sans" w:cs="Noto Sans"/>
          <w:color w:val="auto"/>
        </w:rPr>
        <w:t xml:space="preserve"> is seeking the services of an industry certified/tertiary qualified stakeholder engagement, communications and social impact evaluation advisor (Advisor) to support the development of the Detailed Business Case (DBC) for the </w:t>
      </w:r>
      <w:r w:rsidRPr="003830C9">
        <w:rPr>
          <w:rFonts w:ascii="Noto Sans" w:hAnsi="Noto Sans" w:cs="Noto Sans"/>
          <w:color w:val="auto"/>
          <w:highlight w:val="yellow"/>
        </w:rPr>
        <w:t>&lt;&lt;Insert Project&gt;&gt;</w:t>
      </w:r>
      <w:r w:rsidRPr="003830C9">
        <w:rPr>
          <w:rFonts w:ascii="Noto Sans" w:hAnsi="Noto Sans" w:cs="Noto Sans"/>
          <w:color w:val="auto"/>
        </w:rPr>
        <w:t xml:space="preserve"> (the Project).</w:t>
      </w:r>
    </w:p>
    <w:p w14:paraId="2F5DC449" w14:textId="691DDE82" w:rsidR="003830C9" w:rsidRPr="003830C9" w:rsidRDefault="003830C9" w:rsidP="003830C9">
      <w:pPr>
        <w:pStyle w:val="BodyText"/>
        <w:rPr>
          <w:rFonts w:ascii="Noto Sans" w:hAnsi="Noto Sans" w:cs="Noto Sans"/>
          <w:color w:val="auto"/>
          <w:highlight w:val="cyan"/>
        </w:rPr>
      </w:pPr>
      <w:r w:rsidRPr="003830C9">
        <w:rPr>
          <w:rFonts w:ascii="Noto Sans" w:hAnsi="Noto Sans" w:cs="Noto Sans"/>
          <w:color w:val="auto"/>
        </w:rPr>
        <w:t xml:space="preserve">The </w:t>
      </w:r>
      <w:r w:rsidRPr="003830C9">
        <w:rPr>
          <w:rFonts w:ascii="Noto Sans" w:hAnsi="Noto Sans" w:cs="Noto Sans"/>
          <w:color w:val="auto"/>
          <w:highlight w:val="yellow"/>
        </w:rPr>
        <w:t>&lt;&lt;Insert&gt;&gt;</w:t>
      </w:r>
      <w:r w:rsidRPr="003830C9">
        <w:rPr>
          <w:rFonts w:ascii="Noto Sans" w:hAnsi="Noto Sans" w:cs="Noto Sans"/>
          <w:color w:val="auto"/>
        </w:rPr>
        <w:t xml:space="preserve"> advisor will work in collaboration with </w:t>
      </w:r>
      <w:r w:rsidRPr="003830C9">
        <w:rPr>
          <w:rFonts w:ascii="Noto Sans" w:hAnsi="Noto Sans" w:cs="Noto Sans"/>
          <w:color w:val="auto"/>
          <w:highlight w:val="yellow"/>
        </w:rPr>
        <w:t>&lt;&lt;Agency Name&gt;&gt;</w:t>
      </w:r>
      <w:r w:rsidRPr="003830C9">
        <w:rPr>
          <w:rFonts w:ascii="Noto Sans" w:hAnsi="Noto Sans" w:cs="Noto Sans"/>
          <w:color w:val="auto"/>
        </w:rPr>
        <w:t xml:space="preserve"> to develop the </w:t>
      </w:r>
      <w:r w:rsidRPr="003830C9">
        <w:rPr>
          <w:rFonts w:ascii="Noto Sans" w:hAnsi="Noto Sans" w:cs="Noto Sans"/>
          <w:color w:val="auto"/>
          <w:highlight w:val="yellow"/>
        </w:rPr>
        <w:t>&lt;&lt;Business Case Name&gt;&gt;</w:t>
      </w:r>
      <w:r w:rsidRPr="003830C9">
        <w:rPr>
          <w:rFonts w:ascii="Noto Sans" w:hAnsi="Noto Sans" w:cs="Noto Sans"/>
          <w:color w:val="auto"/>
        </w:rPr>
        <w:t xml:space="preserve"> in accordance with the Business Case Development Framework (BCDF) (see </w:t>
      </w:r>
      <w:hyperlink r:id="rId12" w:history="1">
        <w:r w:rsidRPr="003830C9">
          <w:rPr>
            <w:rStyle w:val="Hyperlink"/>
            <w:rFonts w:ascii="Noto Sans" w:hAnsi="Noto Sans" w:cs="Noto Sans"/>
            <w:color w:val="auto"/>
          </w:rPr>
          <w:t>Infrastructure | State Development and Infrastructure</w:t>
        </w:r>
      </w:hyperlink>
      <w:r w:rsidRPr="003830C9">
        <w:rPr>
          <w:rFonts w:ascii="Noto Sans" w:hAnsi="Noto Sans" w:cs="Noto Sans"/>
          <w:color w:val="auto"/>
        </w:rPr>
        <w:t xml:space="preserve"> for more details) </w:t>
      </w:r>
      <w:r w:rsidRPr="003830C9">
        <w:rPr>
          <w:rFonts w:ascii="Noto Sans" w:hAnsi="Noto Sans" w:cs="Noto Sans"/>
          <w:color w:val="auto"/>
          <w:highlight w:val="yellow"/>
        </w:rPr>
        <w:t xml:space="preserve">and </w:t>
      </w:r>
      <w:hyperlink r:id="rId13" w:history="1">
        <w:r w:rsidRPr="003830C9">
          <w:rPr>
            <w:rStyle w:val="Hyperlink"/>
            <w:rFonts w:ascii="Noto Sans" w:hAnsi="Noto Sans" w:cs="Noto Sans"/>
            <w:color w:val="auto"/>
            <w:highlight w:val="yellow"/>
          </w:rPr>
          <w:t>Infrastructure Australia’s Assessment Framework</w:t>
        </w:r>
      </w:hyperlink>
      <w:r w:rsidRPr="003830C9">
        <w:rPr>
          <w:rFonts w:ascii="Noto Sans" w:hAnsi="Noto Sans" w:cs="Noto Sans"/>
          <w:color w:val="auto"/>
          <w:highlight w:val="yellow"/>
        </w:rPr>
        <w:t xml:space="preserve"> </w:t>
      </w:r>
      <w:r w:rsidRPr="003830C9">
        <w:rPr>
          <w:rFonts w:ascii="Noto Sans" w:hAnsi="Noto Sans" w:cs="Noto Sans"/>
          <w:color w:val="auto"/>
          <w:highlight w:val="cyan"/>
        </w:rPr>
        <w:t xml:space="preserve">(only for projects that will be submitted to Infrastructure Australia </w:t>
      </w:r>
      <w:proofErr w:type="spellStart"/>
      <w:r w:rsidRPr="003830C9">
        <w:rPr>
          <w:rFonts w:ascii="Noto Sans" w:hAnsi="Noto Sans" w:cs="Noto Sans"/>
          <w:color w:val="auto"/>
          <w:highlight w:val="cyan"/>
        </w:rPr>
        <w:t>eg.</w:t>
      </w:r>
      <w:proofErr w:type="spellEnd"/>
      <w:r w:rsidRPr="003830C9">
        <w:rPr>
          <w:rFonts w:ascii="Noto Sans" w:hAnsi="Noto Sans" w:cs="Noto Sans"/>
          <w:color w:val="auto"/>
          <w:highlight w:val="cyan"/>
        </w:rPr>
        <w:t xml:space="preserve"> major roads).</w:t>
      </w:r>
    </w:p>
    <w:p w14:paraId="3B3FF811" w14:textId="77777777" w:rsidR="003830C9" w:rsidRPr="003830C9" w:rsidRDefault="003830C9" w:rsidP="003830C9">
      <w:pPr>
        <w:pStyle w:val="BodyText"/>
        <w:rPr>
          <w:rFonts w:ascii="Noto Sans" w:hAnsi="Noto Sans" w:cs="Noto Sans"/>
          <w:color w:val="auto"/>
          <w:highlight w:val="cyan"/>
        </w:rPr>
      </w:pPr>
      <w:r w:rsidRPr="003830C9">
        <w:rPr>
          <w:rFonts w:ascii="Noto Sans" w:hAnsi="Noto Sans" w:cs="Noto Sans"/>
          <w:color w:val="auto"/>
        </w:rPr>
        <w:t>The advisor will be required to undertake services including but not limited to the advice and tasks outlined in this scope of services.</w:t>
      </w:r>
    </w:p>
    <w:p w14:paraId="15FF16F5" w14:textId="42865895" w:rsidR="00323966" w:rsidRDefault="003830C9" w:rsidP="005A1334">
      <w:pPr>
        <w:pStyle w:val="Heading2"/>
        <w:numPr>
          <w:ilvl w:val="1"/>
          <w:numId w:val="13"/>
        </w:numPr>
      </w:pPr>
      <w:r>
        <w:t>Background</w:t>
      </w:r>
    </w:p>
    <w:p w14:paraId="6CC7EA75" w14:textId="77777777" w:rsidR="00C228F8" w:rsidRPr="00C228F8" w:rsidRDefault="00C228F8" w:rsidP="00C228F8">
      <w:pPr>
        <w:pStyle w:val="BodyText"/>
        <w:ind w:right="113"/>
        <w:rPr>
          <w:rFonts w:ascii="Noto Sans" w:hAnsi="Noto Sans" w:cs="Noto Sans"/>
          <w:color w:val="auto"/>
          <w:highlight w:val="cyan"/>
        </w:rPr>
      </w:pPr>
      <w:r w:rsidRPr="00C228F8">
        <w:rPr>
          <w:rFonts w:ascii="Noto Sans" w:hAnsi="Noto Sans" w:cs="Noto Sans"/>
          <w:color w:val="auto"/>
          <w:highlight w:val="cyan"/>
        </w:rPr>
        <w:t>&lt;&lt;Outline background of the project and detail its scope to ensure the accurate formulation of relevant quotations).&gt;&gt;</w:t>
      </w:r>
    </w:p>
    <w:p w14:paraId="7D011CCA" w14:textId="447214A6" w:rsidR="00D1707E" w:rsidRDefault="00D1707E" w:rsidP="005A1334">
      <w:pPr>
        <w:pStyle w:val="Heading1"/>
        <w:numPr>
          <w:ilvl w:val="0"/>
          <w:numId w:val="13"/>
        </w:numPr>
      </w:pPr>
      <w:r>
        <w:t xml:space="preserve">Key </w:t>
      </w:r>
      <w:r w:rsidR="00906814">
        <w:t>a</w:t>
      </w:r>
      <w:r>
        <w:t xml:space="preserve">ctivities and </w:t>
      </w:r>
      <w:r w:rsidR="00906814">
        <w:t>d</w:t>
      </w:r>
      <w:r>
        <w:t>eliverables</w:t>
      </w:r>
    </w:p>
    <w:p w14:paraId="44FFD2C1" w14:textId="77777777" w:rsidR="002E2EAC" w:rsidRPr="002E2EAC" w:rsidRDefault="002E2EAC" w:rsidP="002E2EAC">
      <w:pPr>
        <w:rPr>
          <w:rFonts w:cs="Noto Sans"/>
        </w:rPr>
      </w:pPr>
      <w:r w:rsidRPr="002E2EAC">
        <w:rPr>
          <w:rFonts w:cs="Noto Sans"/>
        </w:rPr>
        <w:t>The Advisor is expected to provide a range of services. These include:</w:t>
      </w:r>
    </w:p>
    <w:p w14:paraId="25451187" w14:textId="77777777" w:rsidR="002E2EAC" w:rsidRPr="002E2EAC" w:rsidRDefault="002E2EAC" w:rsidP="005A1334">
      <w:pPr>
        <w:pStyle w:val="ListParagraph"/>
        <w:numPr>
          <w:ilvl w:val="0"/>
          <w:numId w:val="12"/>
        </w:numPr>
        <w:tabs>
          <w:tab w:val="clear" w:pos="2835"/>
        </w:tabs>
        <w:spacing w:before="120"/>
        <w:rPr>
          <w:rFonts w:cs="Noto Sans"/>
        </w:rPr>
      </w:pPr>
      <w:r w:rsidRPr="002E2EAC">
        <w:rPr>
          <w:rFonts w:cs="Noto Sans"/>
        </w:rPr>
        <w:t>Communication and stakeholder engagement</w:t>
      </w:r>
    </w:p>
    <w:p w14:paraId="65BE3298" w14:textId="77777777" w:rsidR="002E2EAC" w:rsidRPr="002E2EAC" w:rsidRDefault="002E2EAC" w:rsidP="005A1334">
      <w:pPr>
        <w:pStyle w:val="ListParagraph"/>
        <w:numPr>
          <w:ilvl w:val="0"/>
          <w:numId w:val="12"/>
        </w:numPr>
        <w:tabs>
          <w:tab w:val="clear" w:pos="2835"/>
        </w:tabs>
        <w:spacing w:before="120"/>
        <w:rPr>
          <w:rFonts w:cs="Noto Sans"/>
        </w:rPr>
      </w:pPr>
      <w:r w:rsidRPr="002E2EAC">
        <w:rPr>
          <w:rFonts w:cs="Noto Sans"/>
        </w:rPr>
        <w:t>Social impact evaluation</w:t>
      </w:r>
    </w:p>
    <w:p w14:paraId="4CA7E728" w14:textId="77777777" w:rsidR="002E2EAC" w:rsidRPr="002E2EAC" w:rsidRDefault="002E2EAC" w:rsidP="005A1334">
      <w:pPr>
        <w:pStyle w:val="ListParagraph"/>
        <w:numPr>
          <w:ilvl w:val="0"/>
          <w:numId w:val="12"/>
        </w:numPr>
        <w:tabs>
          <w:tab w:val="clear" w:pos="2835"/>
        </w:tabs>
        <w:spacing w:before="120"/>
        <w:rPr>
          <w:rFonts w:cs="Noto Sans"/>
        </w:rPr>
      </w:pPr>
      <w:r w:rsidRPr="002E2EAC">
        <w:rPr>
          <w:rFonts w:cs="Noto Sans"/>
        </w:rPr>
        <w:t>Sustainability assessment</w:t>
      </w:r>
    </w:p>
    <w:p w14:paraId="605BBF9F" w14:textId="77777777" w:rsidR="002E2EAC" w:rsidRPr="002E2EAC" w:rsidRDefault="002E2EAC" w:rsidP="005A1334">
      <w:pPr>
        <w:pStyle w:val="ListParagraph"/>
        <w:numPr>
          <w:ilvl w:val="0"/>
          <w:numId w:val="12"/>
        </w:numPr>
        <w:tabs>
          <w:tab w:val="clear" w:pos="2835"/>
        </w:tabs>
        <w:spacing w:before="120"/>
        <w:rPr>
          <w:rFonts w:cs="Noto Sans"/>
        </w:rPr>
      </w:pPr>
      <w:r w:rsidRPr="002E2EAC">
        <w:rPr>
          <w:rFonts w:cs="Noto Sans"/>
        </w:rPr>
        <w:t>Public interest consideration analysis.</w:t>
      </w:r>
    </w:p>
    <w:p w14:paraId="3AD32BA7" w14:textId="3C9F67D6" w:rsidR="002E2EAC" w:rsidRPr="002E2EAC" w:rsidRDefault="002E2EAC" w:rsidP="002E2EAC">
      <w:pPr>
        <w:rPr>
          <w:rFonts w:cs="Noto Sans"/>
        </w:rPr>
      </w:pPr>
      <w:r w:rsidRPr="002E2EAC">
        <w:rPr>
          <w:rFonts w:cs="Noto Sans"/>
          <w:color w:val="2B579A"/>
          <w:shd w:val="clear" w:color="auto" w:fill="E6E6E6"/>
        </w:rPr>
        <w:fldChar w:fldCharType="begin"/>
      </w:r>
      <w:r w:rsidRPr="002E2EAC">
        <w:rPr>
          <w:rFonts w:cs="Noto Sans"/>
        </w:rPr>
        <w:instrText xml:space="preserve"> REF _Ref76121668 \h </w:instrText>
      </w:r>
      <w:r>
        <w:rPr>
          <w:rFonts w:cs="Noto Sans"/>
          <w:color w:val="2B579A"/>
          <w:shd w:val="clear" w:color="auto" w:fill="E6E6E6"/>
        </w:rPr>
        <w:instrText xml:space="preserve"> \* MERGEFORMAT </w:instrText>
      </w:r>
      <w:r w:rsidRPr="002E2EAC">
        <w:rPr>
          <w:rFonts w:cs="Noto Sans"/>
          <w:color w:val="2B579A"/>
          <w:shd w:val="clear" w:color="auto" w:fill="E6E6E6"/>
        </w:rPr>
      </w:r>
      <w:r w:rsidRPr="002E2EAC">
        <w:rPr>
          <w:rFonts w:cs="Noto Sans"/>
          <w:color w:val="2B579A"/>
          <w:shd w:val="clear" w:color="auto" w:fill="E6E6E6"/>
        </w:rPr>
        <w:fldChar w:fldCharType="separate"/>
      </w:r>
      <w:r w:rsidRPr="002E2EAC">
        <w:rPr>
          <w:rFonts w:cs="Noto Sans"/>
        </w:rPr>
        <w:t xml:space="preserve">Table </w:t>
      </w:r>
      <w:r w:rsidRPr="002E2EAC">
        <w:rPr>
          <w:rFonts w:cs="Noto Sans"/>
          <w:noProof/>
        </w:rPr>
        <w:t>1</w:t>
      </w:r>
      <w:r w:rsidRPr="002E2EAC">
        <w:rPr>
          <w:rFonts w:cs="Noto Sans"/>
          <w:color w:val="2B579A"/>
          <w:shd w:val="clear" w:color="auto" w:fill="E6E6E6"/>
        </w:rPr>
        <w:fldChar w:fldCharType="end"/>
      </w:r>
      <w:r w:rsidRPr="002E2EAC">
        <w:rPr>
          <w:rFonts w:cs="Noto Sans"/>
        </w:rPr>
        <w:t xml:space="preserve"> outlines the key activities and deliverables associated with the development of the business case.</w:t>
      </w:r>
    </w:p>
    <w:p w14:paraId="2C2EE5EF" w14:textId="41CB277B" w:rsidR="001F7B06" w:rsidRPr="002E2EAC" w:rsidRDefault="002E2EAC" w:rsidP="002E2EAC">
      <w:pPr>
        <w:pStyle w:val="Caption"/>
        <w:rPr>
          <w:rFonts w:ascii="Noto Sans" w:hAnsi="Noto Sans" w:cs="Noto Sans"/>
          <w:color w:val="auto"/>
        </w:rPr>
      </w:pPr>
      <w:bookmarkStart w:id="0" w:name="_Ref76121668"/>
      <w:bookmarkStart w:id="1" w:name="_Ref76378901"/>
      <w:r w:rsidRPr="002E2EAC">
        <w:rPr>
          <w:rFonts w:ascii="Noto Sans" w:hAnsi="Noto Sans" w:cs="Noto Sans"/>
          <w:color w:val="auto"/>
        </w:rPr>
        <w:t xml:space="preserve">Table </w:t>
      </w:r>
      <w:r w:rsidRPr="002E2EAC">
        <w:rPr>
          <w:rFonts w:ascii="Noto Sans" w:hAnsi="Noto Sans" w:cs="Noto Sans"/>
          <w:color w:val="auto"/>
        </w:rPr>
        <w:fldChar w:fldCharType="begin"/>
      </w:r>
      <w:r w:rsidRPr="002E2EAC">
        <w:rPr>
          <w:rFonts w:ascii="Noto Sans" w:hAnsi="Noto Sans" w:cs="Noto Sans"/>
          <w:color w:val="auto"/>
        </w:rPr>
        <w:instrText xml:space="preserve"> SEQ Table \* ARABIC </w:instrText>
      </w:r>
      <w:r w:rsidRPr="002E2EAC">
        <w:rPr>
          <w:rFonts w:ascii="Noto Sans" w:hAnsi="Noto Sans" w:cs="Noto Sans"/>
          <w:color w:val="auto"/>
        </w:rPr>
        <w:fldChar w:fldCharType="separate"/>
      </w:r>
      <w:r w:rsidRPr="002E2EAC">
        <w:rPr>
          <w:rFonts w:ascii="Noto Sans" w:hAnsi="Noto Sans" w:cs="Noto Sans"/>
          <w:noProof/>
          <w:color w:val="auto"/>
        </w:rPr>
        <w:t>1</w:t>
      </w:r>
      <w:r w:rsidRPr="002E2EAC">
        <w:rPr>
          <w:rFonts w:ascii="Noto Sans" w:hAnsi="Noto Sans" w:cs="Noto Sans"/>
          <w:noProof/>
          <w:color w:val="auto"/>
        </w:rPr>
        <w:fldChar w:fldCharType="end"/>
      </w:r>
      <w:bookmarkEnd w:id="0"/>
      <w:r w:rsidRPr="002E2EAC">
        <w:rPr>
          <w:rFonts w:ascii="Noto Sans" w:hAnsi="Noto Sans" w:cs="Noto Sans"/>
          <w:color w:val="auto"/>
        </w:rPr>
        <w:t xml:space="preserve">: Proposal </w:t>
      </w:r>
      <w:r w:rsidR="00906814">
        <w:rPr>
          <w:rFonts w:ascii="Noto Sans" w:hAnsi="Noto Sans" w:cs="Noto Sans"/>
          <w:color w:val="auto"/>
        </w:rPr>
        <w:t>d</w:t>
      </w:r>
      <w:r w:rsidRPr="002E2EAC">
        <w:rPr>
          <w:rFonts w:ascii="Noto Sans" w:hAnsi="Noto Sans" w:cs="Noto Sans"/>
          <w:color w:val="auto"/>
        </w:rPr>
        <w:t xml:space="preserve">evelopment </w:t>
      </w:r>
      <w:r w:rsidR="00906814">
        <w:rPr>
          <w:rFonts w:ascii="Noto Sans" w:hAnsi="Noto Sans" w:cs="Noto Sans"/>
          <w:color w:val="auto"/>
        </w:rPr>
        <w:t>p</w:t>
      </w:r>
      <w:r w:rsidRPr="002E2EAC">
        <w:rPr>
          <w:rFonts w:ascii="Noto Sans" w:hAnsi="Noto Sans" w:cs="Noto Sans"/>
          <w:color w:val="auto"/>
        </w:rPr>
        <w:t xml:space="preserve">hase </w:t>
      </w:r>
      <w:r w:rsidR="00906814">
        <w:rPr>
          <w:rFonts w:ascii="Noto Sans" w:hAnsi="Noto Sans" w:cs="Noto Sans"/>
          <w:color w:val="auto"/>
        </w:rPr>
        <w:t>k</w:t>
      </w:r>
      <w:r w:rsidRPr="002E2EAC">
        <w:rPr>
          <w:rFonts w:ascii="Noto Sans" w:hAnsi="Noto Sans" w:cs="Noto Sans"/>
          <w:color w:val="auto"/>
        </w:rPr>
        <w:t xml:space="preserve">ey </w:t>
      </w:r>
      <w:r w:rsidR="00906814">
        <w:rPr>
          <w:rFonts w:ascii="Noto Sans" w:hAnsi="Noto Sans" w:cs="Noto Sans"/>
          <w:color w:val="auto"/>
        </w:rPr>
        <w:t>a</w:t>
      </w:r>
      <w:r w:rsidRPr="002E2EAC">
        <w:rPr>
          <w:rFonts w:ascii="Noto Sans" w:hAnsi="Noto Sans" w:cs="Noto Sans"/>
          <w:color w:val="auto"/>
        </w:rPr>
        <w:t xml:space="preserve">ctivities and </w:t>
      </w:r>
      <w:r w:rsidR="00906814">
        <w:rPr>
          <w:rFonts w:ascii="Noto Sans" w:hAnsi="Noto Sans" w:cs="Noto Sans"/>
          <w:color w:val="auto"/>
        </w:rPr>
        <w:t>d</w:t>
      </w:r>
      <w:r w:rsidRPr="002E2EAC">
        <w:rPr>
          <w:rFonts w:ascii="Noto Sans" w:hAnsi="Noto Sans" w:cs="Noto Sans"/>
          <w:color w:val="auto"/>
        </w:rPr>
        <w:t>eliverables</w:t>
      </w:r>
      <w:bookmarkEnd w:id="1"/>
      <w:r w:rsidRPr="002E2EAC">
        <w:rPr>
          <w:rFonts w:ascii="Noto Sans" w:hAnsi="Noto Sans" w:cs="Noto Sans"/>
          <w:color w:val="auto"/>
        </w:rPr>
        <w:t xml:space="preserve"> </w:t>
      </w:r>
    </w:p>
    <w:tbl>
      <w:tblPr>
        <w:tblStyle w:val="Table-QldBlue"/>
        <w:tblW w:w="5000" w:type="pct"/>
        <w:tblLayout w:type="fixed"/>
        <w:tblLook w:val="0620" w:firstRow="1" w:lastRow="0" w:firstColumn="0" w:lastColumn="0" w:noHBand="1" w:noVBand="1"/>
      </w:tblPr>
      <w:tblGrid>
        <w:gridCol w:w="1967"/>
        <w:gridCol w:w="5202"/>
        <w:gridCol w:w="3311"/>
      </w:tblGrid>
      <w:tr w:rsidR="000A4767" w:rsidRPr="000A4767" w14:paraId="3E05BA75" w14:textId="77777777" w:rsidTr="000F3E1F">
        <w:trPr>
          <w:cnfStyle w:val="100000000000" w:firstRow="1" w:lastRow="0" w:firstColumn="0" w:lastColumn="0" w:oddVBand="0" w:evenVBand="0" w:oddHBand="0" w:evenHBand="0" w:firstRowFirstColumn="0" w:firstRowLastColumn="0" w:lastRowFirstColumn="0" w:lastRowLastColumn="0"/>
        </w:trPr>
        <w:tc>
          <w:tcPr>
            <w:tcW w:w="1967" w:type="dxa"/>
            <w:hideMark/>
          </w:tcPr>
          <w:p w14:paraId="10885481" w14:textId="49923F06" w:rsidR="000A4767" w:rsidRPr="000A4767" w:rsidRDefault="00784BE2" w:rsidP="000A4767">
            <w:r>
              <w:t xml:space="preserve">Proposal </w:t>
            </w:r>
            <w:r w:rsidR="00906814">
              <w:t>d</w:t>
            </w:r>
            <w:r>
              <w:t xml:space="preserve">evelopment </w:t>
            </w:r>
            <w:r w:rsidR="00906814">
              <w:t>p</w:t>
            </w:r>
            <w:r>
              <w:t>hase</w:t>
            </w:r>
            <w:r w:rsidR="000A4767" w:rsidRPr="000A4767">
              <w:t xml:space="preserve"> </w:t>
            </w:r>
          </w:p>
        </w:tc>
        <w:tc>
          <w:tcPr>
            <w:tcW w:w="5202" w:type="dxa"/>
            <w:hideMark/>
          </w:tcPr>
          <w:p w14:paraId="591E9C99" w14:textId="373EC45A" w:rsidR="000A4767" w:rsidRPr="000A4767" w:rsidRDefault="007854A4" w:rsidP="000A4767">
            <w:r>
              <w:t xml:space="preserve">Key </w:t>
            </w:r>
            <w:r w:rsidR="00906814">
              <w:t>a</w:t>
            </w:r>
            <w:r>
              <w:t>ctivities</w:t>
            </w:r>
          </w:p>
        </w:tc>
        <w:tc>
          <w:tcPr>
            <w:tcW w:w="3311" w:type="dxa"/>
            <w:hideMark/>
          </w:tcPr>
          <w:p w14:paraId="066A7B38" w14:textId="7A77ACB0" w:rsidR="000A4767" w:rsidRPr="000A4767" w:rsidRDefault="004C508A" w:rsidP="000A4767">
            <w:r>
              <w:t>D</w:t>
            </w:r>
            <w:r w:rsidR="000A4767" w:rsidRPr="000A4767">
              <w:t>eliverables</w:t>
            </w:r>
          </w:p>
        </w:tc>
      </w:tr>
      <w:tr w:rsidR="000A4767" w:rsidRPr="000A4767" w14:paraId="32D84EC6" w14:textId="77777777" w:rsidTr="000F3E1F">
        <w:tc>
          <w:tcPr>
            <w:tcW w:w="1967" w:type="dxa"/>
            <w:shd w:val="clear" w:color="auto" w:fill="E6E6E6"/>
          </w:tcPr>
          <w:p w14:paraId="7CCEED4C" w14:textId="61D2A7C3" w:rsidR="000A4767" w:rsidRPr="000A4767" w:rsidRDefault="00A3630C" w:rsidP="000A4767">
            <w:r w:rsidRPr="009B67CF">
              <w:rPr>
                <w:b/>
                <w:bCs/>
              </w:rPr>
              <w:t>Communication and Stakeholder Engagement</w:t>
            </w:r>
          </w:p>
        </w:tc>
        <w:tc>
          <w:tcPr>
            <w:tcW w:w="5202" w:type="dxa"/>
          </w:tcPr>
          <w:p w14:paraId="261A8D3D" w14:textId="77777777" w:rsidR="00D515DE" w:rsidRPr="009B67CF" w:rsidRDefault="00D515DE" w:rsidP="00D515DE">
            <w:r w:rsidRPr="009B67CF">
              <w:t>The Advisor is required to:</w:t>
            </w:r>
          </w:p>
          <w:p w14:paraId="63A915BB" w14:textId="77777777" w:rsidR="00D515DE" w:rsidRPr="005649A3" w:rsidRDefault="00D515DE" w:rsidP="00EE6A4E">
            <w:pPr>
              <w:pStyle w:val="ListParagraph"/>
              <w:numPr>
                <w:ilvl w:val="0"/>
                <w:numId w:val="8"/>
              </w:numPr>
              <w:tabs>
                <w:tab w:val="clear" w:pos="2835"/>
              </w:tabs>
              <w:spacing w:before="120"/>
            </w:pPr>
            <w:r w:rsidRPr="005649A3">
              <w:t xml:space="preserve">work with the </w:t>
            </w:r>
            <w:r w:rsidRPr="00C35E3E">
              <w:rPr>
                <w:highlight w:val="yellow"/>
              </w:rPr>
              <w:t>&lt;&lt;</w:t>
            </w:r>
            <w:r>
              <w:rPr>
                <w:highlight w:val="yellow"/>
              </w:rPr>
              <w:t>Owner Agency Name</w:t>
            </w:r>
            <w:r w:rsidRPr="00C35E3E">
              <w:rPr>
                <w:highlight w:val="yellow"/>
              </w:rPr>
              <w:t>&gt;&gt;</w:t>
            </w:r>
            <w:r w:rsidRPr="005649A3">
              <w:t xml:space="preserve"> to conduct a stakeholder analysis to identify all relevant people, including members of the public and key project stakeholders</w:t>
            </w:r>
            <w:r>
              <w:t>.</w:t>
            </w:r>
          </w:p>
          <w:p w14:paraId="68B38617" w14:textId="77777777" w:rsidR="00D515DE" w:rsidRPr="005649A3" w:rsidRDefault="00D515DE" w:rsidP="00EE6A4E">
            <w:pPr>
              <w:pStyle w:val="ListParagraph"/>
              <w:numPr>
                <w:ilvl w:val="0"/>
                <w:numId w:val="8"/>
              </w:numPr>
              <w:tabs>
                <w:tab w:val="clear" w:pos="2835"/>
              </w:tabs>
              <w:spacing w:before="120"/>
            </w:pPr>
            <w:r w:rsidRPr="005649A3">
              <w:t xml:space="preserve">work with the </w:t>
            </w:r>
            <w:r w:rsidRPr="00C35E3E">
              <w:rPr>
                <w:highlight w:val="yellow"/>
              </w:rPr>
              <w:t>&lt;&lt;</w:t>
            </w:r>
            <w:r>
              <w:rPr>
                <w:highlight w:val="yellow"/>
              </w:rPr>
              <w:t>Owner Agency Name</w:t>
            </w:r>
            <w:r w:rsidRPr="00C35E3E">
              <w:rPr>
                <w:highlight w:val="yellow"/>
              </w:rPr>
              <w:t>&gt;&gt;</w:t>
            </w:r>
            <w:r w:rsidRPr="005649A3">
              <w:t xml:space="preserve"> to develop a communications and stakeholder engagement plan including detailed stakeholder mapping, analysis of key risks and issues and development of key messages</w:t>
            </w:r>
            <w:r>
              <w:t>.</w:t>
            </w:r>
          </w:p>
          <w:p w14:paraId="4A2C146B" w14:textId="77777777" w:rsidR="00D515DE" w:rsidRPr="005C2A8E" w:rsidRDefault="00D515DE" w:rsidP="00EE6A4E">
            <w:pPr>
              <w:pStyle w:val="ListParagraph"/>
              <w:numPr>
                <w:ilvl w:val="0"/>
                <w:numId w:val="8"/>
              </w:numPr>
              <w:tabs>
                <w:tab w:val="clear" w:pos="2835"/>
              </w:tabs>
              <w:spacing w:before="120"/>
            </w:pPr>
            <w:r w:rsidRPr="005649A3">
              <w:t>establish and manage a Stakeholder Reference Group to facilitate stakeholder input into the business case development and analysis. The makeup of the Stakeholder Reference Group will be confirmed with</w:t>
            </w:r>
            <w:r>
              <w:t xml:space="preserve"> </w:t>
            </w:r>
            <w:r w:rsidRPr="009B67CF">
              <w:t xml:space="preserve">the successful </w:t>
            </w:r>
            <w:r>
              <w:t>tenderer</w:t>
            </w:r>
            <w:r w:rsidRPr="009B67CF">
              <w:t xml:space="preserve"> in </w:t>
            </w:r>
            <w:r w:rsidRPr="009B67CF">
              <w:lastRenderedPageBreak/>
              <w:t xml:space="preserve">partnership with </w:t>
            </w:r>
            <w:r w:rsidRPr="005C2A8E">
              <w:rPr>
                <w:highlight w:val="yellow"/>
              </w:rPr>
              <w:t>&lt;&lt;Owner Agency Name&gt;&gt;</w:t>
            </w:r>
            <w:r w:rsidRPr="005649A3">
              <w:t xml:space="preserve"> </w:t>
            </w:r>
            <w:r w:rsidRPr="009B67CF">
              <w:t>and</w:t>
            </w:r>
            <w:r>
              <w:t xml:space="preserve"> </w:t>
            </w:r>
            <w:r w:rsidRPr="005C2A8E">
              <w:rPr>
                <w:highlight w:val="yellow"/>
              </w:rPr>
              <w:t>&lt;&lt;Agency Name&gt;&gt; PSC/Executive</w:t>
            </w:r>
            <w:r w:rsidRPr="005C2A8E">
              <w:t>.</w:t>
            </w:r>
          </w:p>
          <w:p w14:paraId="18183493" w14:textId="77777777" w:rsidR="00D515DE" w:rsidRDefault="00D515DE" w:rsidP="00EE6A4E">
            <w:pPr>
              <w:pStyle w:val="ListParagraph"/>
              <w:numPr>
                <w:ilvl w:val="0"/>
                <w:numId w:val="8"/>
              </w:numPr>
              <w:tabs>
                <w:tab w:val="clear" w:pos="2835"/>
              </w:tabs>
              <w:spacing w:before="120"/>
            </w:pPr>
            <w:r w:rsidRPr="009B67CF">
              <w:t>The Advisor will coordinate, manage and facilitate meetings/workshops with the Stakeholder Reference Group to cover the following matters:</w:t>
            </w:r>
          </w:p>
          <w:p w14:paraId="50D9344F" w14:textId="77777777" w:rsidR="00A71F3E" w:rsidRPr="00A71F3E" w:rsidRDefault="00A71F3E" w:rsidP="00EE6A4E">
            <w:pPr>
              <w:pStyle w:val="TableBullet2"/>
              <w:numPr>
                <w:ilvl w:val="1"/>
                <w:numId w:val="8"/>
              </w:numPr>
              <w:rPr>
                <w:rFonts w:ascii="Noto Sans" w:hAnsi="Noto Sans" w:cs="Noto Sans"/>
              </w:rPr>
            </w:pPr>
            <w:r w:rsidRPr="00A71F3E">
              <w:rPr>
                <w:rFonts w:ascii="Noto Sans" w:hAnsi="Noto Sans" w:cs="Noto Sans"/>
              </w:rPr>
              <w:t>the scope and methodology of the DBC</w:t>
            </w:r>
          </w:p>
          <w:p w14:paraId="37B89FA1" w14:textId="77777777" w:rsidR="00A71F3E" w:rsidRPr="00A71F3E" w:rsidRDefault="00A71F3E" w:rsidP="00EE6A4E">
            <w:pPr>
              <w:pStyle w:val="TableBullet2"/>
              <w:numPr>
                <w:ilvl w:val="1"/>
                <w:numId w:val="8"/>
              </w:numPr>
              <w:rPr>
                <w:rFonts w:ascii="Noto Sans" w:hAnsi="Noto Sans" w:cs="Noto Sans"/>
              </w:rPr>
            </w:pPr>
            <w:r w:rsidRPr="00A71F3E">
              <w:rPr>
                <w:rFonts w:ascii="Noto Sans" w:hAnsi="Noto Sans" w:cs="Noto Sans"/>
              </w:rPr>
              <w:t>the outcomes of the business case analysis</w:t>
            </w:r>
          </w:p>
          <w:p w14:paraId="40D0B0AA" w14:textId="77777777" w:rsidR="00A71F3E" w:rsidRPr="00A71F3E" w:rsidRDefault="00A71F3E" w:rsidP="00EE6A4E">
            <w:pPr>
              <w:pStyle w:val="TableBullet2"/>
              <w:numPr>
                <w:ilvl w:val="1"/>
                <w:numId w:val="8"/>
              </w:numPr>
              <w:rPr>
                <w:rFonts w:ascii="Noto Sans" w:hAnsi="Noto Sans" w:cs="Noto Sans"/>
              </w:rPr>
            </w:pPr>
            <w:r w:rsidRPr="00A71F3E">
              <w:rPr>
                <w:rFonts w:ascii="Noto Sans" w:hAnsi="Noto Sans" w:cs="Noto Sans"/>
              </w:rPr>
              <w:t>preliminary findings of the DBC and next steps</w:t>
            </w:r>
          </w:p>
          <w:p w14:paraId="2116470C" w14:textId="77777777" w:rsidR="00A71F3E" w:rsidRPr="00A71F3E" w:rsidRDefault="00A71F3E" w:rsidP="00EE6A4E">
            <w:pPr>
              <w:pStyle w:val="TableBullet2"/>
              <w:numPr>
                <w:ilvl w:val="1"/>
                <w:numId w:val="8"/>
              </w:numPr>
              <w:rPr>
                <w:rFonts w:ascii="Noto Sans" w:hAnsi="Noto Sans" w:cs="Noto Sans"/>
              </w:rPr>
            </w:pPr>
            <w:r w:rsidRPr="00A71F3E">
              <w:rPr>
                <w:rFonts w:ascii="Noto Sans" w:hAnsi="Noto Sans" w:cs="Noto Sans"/>
              </w:rPr>
              <w:t>seek stakeholder feedback to inform the DBC</w:t>
            </w:r>
          </w:p>
          <w:p w14:paraId="6EB0504D" w14:textId="77777777" w:rsidR="00A71F3E" w:rsidRPr="00A71F3E" w:rsidRDefault="00A71F3E" w:rsidP="00EE6A4E">
            <w:pPr>
              <w:pStyle w:val="TableBullet2"/>
              <w:numPr>
                <w:ilvl w:val="1"/>
                <w:numId w:val="8"/>
              </w:numPr>
              <w:rPr>
                <w:rFonts w:ascii="Noto Sans" w:hAnsi="Noto Sans" w:cs="Noto Sans"/>
              </w:rPr>
            </w:pPr>
            <w:r w:rsidRPr="00A71F3E">
              <w:rPr>
                <w:rFonts w:ascii="Noto Sans" w:hAnsi="Noto Sans" w:cs="Noto Sans"/>
              </w:rPr>
              <w:t>identification of opportunities</w:t>
            </w:r>
          </w:p>
          <w:p w14:paraId="7D059BF8" w14:textId="77777777" w:rsidR="00A71F3E" w:rsidRDefault="00A71F3E" w:rsidP="00EE6A4E">
            <w:pPr>
              <w:pStyle w:val="TableBullet2"/>
              <w:numPr>
                <w:ilvl w:val="1"/>
                <w:numId w:val="8"/>
              </w:numPr>
            </w:pPr>
            <w:r w:rsidRPr="00A71F3E">
              <w:rPr>
                <w:rFonts w:ascii="Noto Sans" w:hAnsi="Noto Sans" w:cs="Noto Sans"/>
              </w:rPr>
              <w:t>other</w:t>
            </w:r>
            <w:r w:rsidRPr="009B67CF">
              <w:t xml:space="preserve"> issues, as required.</w:t>
            </w:r>
          </w:p>
          <w:p w14:paraId="132905A5" w14:textId="77777777" w:rsidR="00EE6A4E" w:rsidRDefault="00EE6A4E" w:rsidP="00EE6A4E">
            <w:pPr>
              <w:pStyle w:val="ListParagraph"/>
              <w:numPr>
                <w:ilvl w:val="0"/>
                <w:numId w:val="8"/>
              </w:numPr>
              <w:tabs>
                <w:tab w:val="clear" w:pos="2835"/>
              </w:tabs>
              <w:spacing w:before="120"/>
            </w:pPr>
            <w:r w:rsidRPr="009B67CF">
              <w:t>prepare a Stakeholder Consultation Report detailing the outcomes of the stakeholder consultation. The Stakeholder Consultation Report may be referenced in the DBC and may be included as an appendix.</w:t>
            </w:r>
          </w:p>
          <w:p w14:paraId="27CA58B8" w14:textId="77777777" w:rsidR="00EE6A4E" w:rsidRDefault="00EE6A4E" w:rsidP="00EE6A4E">
            <w:pPr>
              <w:pStyle w:val="ListParagraph"/>
              <w:numPr>
                <w:ilvl w:val="0"/>
                <w:numId w:val="8"/>
              </w:numPr>
              <w:tabs>
                <w:tab w:val="clear" w:pos="2835"/>
              </w:tabs>
              <w:spacing w:before="120"/>
            </w:pPr>
            <w:r w:rsidRPr="009B67CF">
              <w:t>draft relevant content for inclusion in the SIE, sustainability, public interest considerations, implementation plan and methodology chapters.</w:t>
            </w:r>
          </w:p>
          <w:p w14:paraId="18BA5327" w14:textId="77777777" w:rsidR="00EE6A4E" w:rsidRDefault="00EE6A4E" w:rsidP="00EE6A4E">
            <w:pPr>
              <w:pStyle w:val="ListParagraph"/>
              <w:numPr>
                <w:ilvl w:val="0"/>
                <w:numId w:val="8"/>
              </w:numPr>
              <w:tabs>
                <w:tab w:val="clear" w:pos="2835"/>
              </w:tabs>
              <w:spacing w:before="120"/>
            </w:pPr>
            <w:r w:rsidRPr="009B67CF">
              <w:t>contribute to planning, design, environment, financial, commercial, risk analysis, and economic work streams to support development of the DBC.</w:t>
            </w:r>
          </w:p>
          <w:p w14:paraId="11FB2DB1" w14:textId="77777777" w:rsidR="008166BC" w:rsidRPr="005C2A8E" w:rsidRDefault="008166BC" w:rsidP="008166BC">
            <w:r w:rsidRPr="005C2A8E">
              <w:t>In completing work, the Advisor will be expected to:</w:t>
            </w:r>
          </w:p>
          <w:p w14:paraId="6C14AA60" w14:textId="77777777" w:rsidR="008166BC" w:rsidRDefault="008166BC" w:rsidP="008166BC">
            <w:pPr>
              <w:pStyle w:val="ListParagraph"/>
              <w:numPr>
                <w:ilvl w:val="0"/>
                <w:numId w:val="8"/>
              </w:numPr>
              <w:tabs>
                <w:tab w:val="clear" w:pos="2835"/>
              </w:tabs>
              <w:spacing w:before="120"/>
            </w:pPr>
            <w:r w:rsidRPr="009B67CF">
              <w:t xml:space="preserve">lead discussions with the </w:t>
            </w:r>
            <w:r w:rsidRPr="005C2A8E">
              <w:rPr>
                <w:highlight w:val="yellow"/>
              </w:rPr>
              <w:t>&lt;&lt;Owner Agency Name&gt;&gt;</w:t>
            </w:r>
            <w:r w:rsidRPr="005649A3">
              <w:t xml:space="preserve"> </w:t>
            </w:r>
            <w:r w:rsidRPr="009B67CF">
              <w:t>around Communication and Stakeholder Engagement Advisory and related areas</w:t>
            </w:r>
            <w:r>
              <w:t>.</w:t>
            </w:r>
          </w:p>
          <w:p w14:paraId="6FD92539" w14:textId="77777777" w:rsidR="008166BC" w:rsidRDefault="008166BC" w:rsidP="008166BC">
            <w:pPr>
              <w:pStyle w:val="ListParagraph"/>
              <w:numPr>
                <w:ilvl w:val="0"/>
                <w:numId w:val="8"/>
              </w:numPr>
              <w:tabs>
                <w:tab w:val="clear" w:pos="2835"/>
              </w:tabs>
              <w:spacing w:before="120"/>
            </w:pPr>
            <w:r w:rsidRPr="009B67CF">
              <w:t>provide secretariat services for the Stakeholder Reference Group including development of the agenda (in consultation with the Project Director and Project Manager), papers and minutes</w:t>
            </w:r>
            <w:r>
              <w:t>.</w:t>
            </w:r>
          </w:p>
          <w:p w14:paraId="787601C0" w14:textId="77777777" w:rsidR="008166BC" w:rsidRDefault="008166BC" w:rsidP="008166BC">
            <w:pPr>
              <w:pStyle w:val="ListParagraph"/>
              <w:numPr>
                <w:ilvl w:val="0"/>
                <w:numId w:val="8"/>
              </w:numPr>
              <w:tabs>
                <w:tab w:val="clear" w:pos="2835"/>
              </w:tabs>
              <w:spacing w:before="120"/>
            </w:pPr>
            <w:r w:rsidRPr="009B67CF">
              <w:t>develop materials identified in the communication plan and facilitate stakeholder engagement</w:t>
            </w:r>
            <w:r>
              <w:t>.</w:t>
            </w:r>
          </w:p>
          <w:p w14:paraId="622E214D" w14:textId="77777777" w:rsidR="008166BC" w:rsidRDefault="008166BC" w:rsidP="008166BC">
            <w:pPr>
              <w:pStyle w:val="ListParagraph"/>
              <w:numPr>
                <w:ilvl w:val="0"/>
                <w:numId w:val="8"/>
              </w:numPr>
              <w:tabs>
                <w:tab w:val="clear" w:pos="2835"/>
              </w:tabs>
              <w:spacing w:before="120"/>
            </w:pPr>
            <w:r w:rsidRPr="009B67CF">
              <w:t>contribute to risk and benefits assessments and registers.</w:t>
            </w:r>
          </w:p>
          <w:p w14:paraId="40E76DA1" w14:textId="77777777" w:rsidR="00E56579" w:rsidRPr="009B67CF" w:rsidRDefault="00E56579" w:rsidP="00E56579">
            <w:pPr>
              <w:rPr>
                <w:b/>
                <w:bCs/>
              </w:rPr>
            </w:pPr>
            <w:r w:rsidRPr="009B67CF">
              <w:rPr>
                <w:b/>
                <w:bCs/>
              </w:rPr>
              <w:t>Important Information</w:t>
            </w:r>
          </w:p>
          <w:p w14:paraId="096581CC" w14:textId="77777777" w:rsidR="00E56579" w:rsidRDefault="00E56579" w:rsidP="00E56579">
            <w:pPr>
              <w:pStyle w:val="ListParagraph"/>
              <w:numPr>
                <w:ilvl w:val="0"/>
                <w:numId w:val="8"/>
              </w:numPr>
              <w:tabs>
                <w:tab w:val="clear" w:pos="2835"/>
              </w:tabs>
              <w:spacing w:before="120"/>
            </w:pPr>
            <w:r>
              <w:t xml:space="preserve">A list of initial key stakeholders that have been identified by </w:t>
            </w:r>
            <w:r w:rsidRPr="005C2A8E">
              <w:rPr>
                <w:highlight w:val="yellow"/>
              </w:rPr>
              <w:t>&lt;&lt;Agency Name&gt;&gt; PSC/Executive</w:t>
            </w:r>
            <w:r>
              <w:t xml:space="preserve"> will be provided post award. This list will be developed further with the Advisor as part of the Stakeholder Engagement Plan.</w:t>
            </w:r>
          </w:p>
          <w:p w14:paraId="16312D74" w14:textId="77777777" w:rsidR="00E56579" w:rsidRDefault="00E56579" w:rsidP="00E56579">
            <w:pPr>
              <w:pStyle w:val="ListParagraph"/>
              <w:numPr>
                <w:ilvl w:val="0"/>
                <w:numId w:val="8"/>
              </w:numPr>
              <w:tabs>
                <w:tab w:val="clear" w:pos="2835"/>
              </w:tabs>
              <w:spacing w:before="120"/>
            </w:pPr>
            <w:r>
              <w:t xml:space="preserve">Community engagement will be conducted in collaboration with </w:t>
            </w:r>
            <w:r w:rsidRPr="005C2A8E">
              <w:rPr>
                <w:highlight w:val="yellow"/>
              </w:rPr>
              <w:t>&lt;&lt;Agency Name&gt;&gt;</w:t>
            </w:r>
            <w:r>
              <w:t xml:space="preserve"> and </w:t>
            </w:r>
            <w:r w:rsidRPr="005C2A8E">
              <w:rPr>
                <w:highlight w:val="yellow"/>
              </w:rPr>
              <w:t>&lt;&lt;Agency Name&gt;&gt; PSC/Executive</w:t>
            </w:r>
            <w:r>
              <w:t xml:space="preserve"> requirements to inform the business case analysis and the public about the Project. Community engagement is anticipated to be at a minimum of the IAP2 spectrum (inform) with newsletters, letters, media stories or a public meeting considered appropriate. In addition, IAP2 spectrum (consultation) is required for master planning and precinct planning, in collaboration with design, real estate and other advisors.</w:t>
            </w:r>
          </w:p>
          <w:p w14:paraId="77A97369" w14:textId="77777777" w:rsidR="00E56579" w:rsidRDefault="00E56579" w:rsidP="00E56579">
            <w:pPr>
              <w:pStyle w:val="ListParagraph"/>
              <w:numPr>
                <w:ilvl w:val="0"/>
                <w:numId w:val="8"/>
              </w:numPr>
              <w:tabs>
                <w:tab w:val="clear" w:pos="2835"/>
              </w:tabs>
              <w:spacing w:before="120"/>
            </w:pPr>
            <w:r w:rsidRPr="005C2A8E">
              <w:rPr>
                <w:highlight w:val="yellow"/>
              </w:rPr>
              <w:t>&lt;&lt;Agency Name&gt;&gt;</w:t>
            </w:r>
            <w:r>
              <w:t xml:space="preserve"> will lead community consultation for any process associated with selection of the site for the new hospital. The Advisor will work in collaboration with </w:t>
            </w:r>
            <w:r w:rsidRPr="005C2A8E">
              <w:rPr>
                <w:highlight w:val="yellow"/>
              </w:rPr>
              <w:t>&lt;&lt;Agency Name&gt;&gt; PSC/Executive</w:t>
            </w:r>
            <w:r>
              <w:t xml:space="preserve"> in relation to communications about the selected site necessary to inform development of the DBC.</w:t>
            </w:r>
          </w:p>
          <w:p w14:paraId="518A1DDB" w14:textId="6DAE99FB" w:rsidR="00D515DE" w:rsidRPr="000B2F6B" w:rsidRDefault="000B2F6B" w:rsidP="008166BC">
            <w:pPr>
              <w:pStyle w:val="TableBullet2"/>
              <w:numPr>
                <w:ilvl w:val="0"/>
                <w:numId w:val="0"/>
              </w:numPr>
              <w:rPr>
                <w:rFonts w:ascii="Noto Sans" w:hAnsi="Noto Sans" w:cs="Noto Sans"/>
              </w:rPr>
            </w:pPr>
            <w:r w:rsidRPr="000B2F6B">
              <w:rPr>
                <w:rFonts w:ascii="Noto Sans" w:hAnsi="Noto Sans" w:cs="Noto Sans"/>
                <w:b/>
                <w:bCs/>
              </w:rPr>
              <w:t>Note:</w:t>
            </w:r>
            <w:r w:rsidRPr="000B2F6B">
              <w:rPr>
                <w:rFonts w:ascii="Noto Sans" w:hAnsi="Noto Sans" w:cs="Noto Sans"/>
              </w:rPr>
              <w:t xml:space="preserve"> further engagement will occur by the Advisor post completion of the detailed business case</w:t>
            </w:r>
            <w:r>
              <w:rPr>
                <w:rFonts w:ascii="Noto Sans" w:hAnsi="Noto Sans" w:cs="Noto Sans"/>
              </w:rPr>
              <w:t xml:space="preserve"> – </w:t>
            </w:r>
            <w:r w:rsidRPr="000B2F6B">
              <w:rPr>
                <w:rFonts w:ascii="Noto Sans" w:hAnsi="Noto Sans" w:cs="Noto Sans"/>
              </w:rPr>
              <w:t xml:space="preserve">e.g., through SIE. Where applicable the Advisor will allow for and accommodate the integration of key activities with </w:t>
            </w:r>
            <w:r w:rsidRPr="000B2F6B">
              <w:rPr>
                <w:rFonts w:ascii="Noto Sans" w:hAnsi="Noto Sans" w:cs="Noto Sans"/>
                <w:highlight w:val="yellow"/>
              </w:rPr>
              <w:t>&lt;&lt;Agency Name&gt;&gt; PSC/Executive’s</w:t>
            </w:r>
            <w:r w:rsidRPr="000B2F6B">
              <w:rPr>
                <w:rFonts w:ascii="Noto Sans" w:hAnsi="Noto Sans" w:cs="Noto Sans"/>
              </w:rPr>
              <w:t xml:space="preserve"> broader consultation in the region.</w:t>
            </w:r>
          </w:p>
        </w:tc>
        <w:tc>
          <w:tcPr>
            <w:tcW w:w="3311" w:type="dxa"/>
          </w:tcPr>
          <w:p w14:paraId="11451BFD" w14:textId="77777777" w:rsidR="00BA6AEC" w:rsidRPr="005649A3" w:rsidRDefault="00BA6AEC" w:rsidP="00BA6AEC">
            <w:pPr>
              <w:pStyle w:val="ListParagraph"/>
              <w:numPr>
                <w:ilvl w:val="0"/>
                <w:numId w:val="5"/>
              </w:numPr>
              <w:tabs>
                <w:tab w:val="clear" w:pos="2835"/>
              </w:tabs>
              <w:spacing w:before="120"/>
            </w:pPr>
            <w:r w:rsidRPr="005649A3">
              <w:lastRenderedPageBreak/>
              <w:t>Communications and stakeholder engagement plan</w:t>
            </w:r>
            <w:r>
              <w:t>.</w:t>
            </w:r>
          </w:p>
          <w:p w14:paraId="234F6B0A" w14:textId="77777777" w:rsidR="00BA6AEC" w:rsidRPr="005649A3" w:rsidRDefault="00BA6AEC" w:rsidP="00BA6AEC">
            <w:pPr>
              <w:pStyle w:val="ListParagraph"/>
              <w:numPr>
                <w:ilvl w:val="0"/>
                <w:numId w:val="5"/>
              </w:numPr>
              <w:tabs>
                <w:tab w:val="clear" w:pos="2835"/>
              </w:tabs>
              <w:spacing w:before="120"/>
            </w:pPr>
            <w:r w:rsidRPr="005649A3">
              <w:t>Stakeholder consultation report</w:t>
            </w:r>
            <w:r>
              <w:t>.</w:t>
            </w:r>
          </w:p>
          <w:p w14:paraId="297C7B73" w14:textId="38CA25F7" w:rsidR="000A4767" w:rsidRDefault="00BA6AEC" w:rsidP="00BA6AEC">
            <w:pPr>
              <w:pStyle w:val="ListParagraph"/>
              <w:numPr>
                <w:ilvl w:val="0"/>
                <w:numId w:val="5"/>
              </w:numPr>
            </w:pPr>
            <w:r w:rsidRPr="005649A3">
              <w:t>Stakeholder Reference Group artefacts.</w:t>
            </w:r>
            <w:r w:rsidR="009C2FC1" w:rsidRPr="009C2FC1">
              <w:t xml:space="preserve">  </w:t>
            </w:r>
          </w:p>
          <w:p w14:paraId="288FE1DB" w14:textId="3A911DD8" w:rsidR="00814E75" w:rsidRPr="00870F9E" w:rsidRDefault="00814E75" w:rsidP="00870F9E"/>
        </w:tc>
      </w:tr>
      <w:tr w:rsidR="009C2FC1" w:rsidRPr="000A4767" w14:paraId="2CEDA858" w14:textId="77777777" w:rsidTr="000F3E1F">
        <w:tc>
          <w:tcPr>
            <w:tcW w:w="1967" w:type="dxa"/>
            <w:shd w:val="clear" w:color="auto" w:fill="E6E6E6"/>
          </w:tcPr>
          <w:p w14:paraId="1F07933A" w14:textId="21D8EB2D" w:rsidR="009C2FC1" w:rsidRPr="00E36904" w:rsidRDefault="00A57728" w:rsidP="000A4767">
            <w:pPr>
              <w:rPr>
                <w:b/>
                <w:bCs/>
              </w:rPr>
            </w:pPr>
            <w:r w:rsidRPr="009B67CF">
              <w:rPr>
                <w:b/>
                <w:bCs/>
              </w:rPr>
              <w:t>Social Impact Evaluation (SIE)</w:t>
            </w:r>
          </w:p>
        </w:tc>
        <w:tc>
          <w:tcPr>
            <w:tcW w:w="5202" w:type="dxa"/>
          </w:tcPr>
          <w:p w14:paraId="6ABDE046" w14:textId="77777777" w:rsidR="007C2ED3" w:rsidRPr="007412D2" w:rsidRDefault="007C2ED3" w:rsidP="007C2ED3">
            <w:pPr>
              <w:rPr>
                <w:rFonts w:eastAsia="Times New Roman" w:cs="Noto Sans"/>
              </w:rPr>
            </w:pPr>
            <w:r w:rsidRPr="007412D2">
              <w:rPr>
                <w:rFonts w:eastAsia="Times New Roman" w:cs="Noto Sans"/>
              </w:rPr>
              <w:t xml:space="preserve">The Advisor is required to deliver a robust social impact evaluation identifying and assessing all relevant social impacts (both positive and negative) in line with </w:t>
            </w:r>
            <w:r w:rsidRPr="007412D2">
              <w:rPr>
                <w:rFonts w:cs="Noto Sans"/>
                <w:highlight w:val="yellow"/>
              </w:rPr>
              <w:t>&lt;&lt;Agency Name&gt;&gt; PSC/Executive</w:t>
            </w:r>
            <w:r w:rsidRPr="007412D2">
              <w:rPr>
                <w:rFonts w:cs="Noto Sans"/>
              </w:rPr>
              <w:t xml:space="preserve"> </w:t>
            </w:r>
            <w:r w:rsidRPr="007412D2">
              <w:rPr>
                <w:rFonts w:eastAsia="Times New Roman" w:cs="Noto Sans"/>
              </w:rPr>
              <w:t>expectations.</w:t>
            </w:r>
          </w:p>
          <w:p w14:paraId="1151CC54" w14:textId="77777777" w:rsidR="007C2ED3" w:rsidRPr="007412D2" w:rsidRDefault="007C2ED3" w:rsidP="007C2ED3">
            <w:pPr>
              <w:pStyle w:val="ListBullet"/>
              <w:ind w:left="360" w:hanging="360"/>
              <w:rPr>
                <w:rFonts w:ascii="Noto Sans" w:eastAsia="Times New Roman" w:hAnsi="Noto Sans" w:cs="Noto Sans"/>
                <w:color w:val="auto"/>
              </w:rPr>
            </w:pPr>
            <w:r w:rsidRPr="007412D2">
              <w:rPr>
                <w:rFonts w:ascii="Noto Sans" w:eastAsia="Times New Roman" w:hAnsi="Noto Sans" w:cs="Noto Sans"/>
                <w:color w:val="auto"/>
              </w:rPr>
              <w:t>In completing work, the Advisor will be expected to:</w:t>
            </w:r>
          </w:p>
          <w:p w14:paraId="5B2F5D33" w14:textId="77777777" w:rsidR="007C2ED3" w:rsidRPr="007412D2" w:rsidRDefault="007C2ED3" w:rsidP="007C2ED3">
            <w:pPr>
              <w:pStyle w:val="ListBullet"/>
              <w:ind w:left="360" w:hanging="360"/>
              <w:rPr>
                <w:rFonts w:ascii="Noto Sans" w:eastAsia="Times New Roman" w:hAnsi="Noto Sans" w:cs="Noto Sans"/>
                <w:color w:val="auto"/>
              </w:rPr>
            </w:pPr>
          </w:p>
          <w:p w14:paraId="396F26F8" w14:textId="77777777" w:rsidR="007C2ED3" w:rsidRPr="007412D2" w:rsidRDefault="007C2ED3" w:rsidP="007C2ED3">
            <w:pPr>
              <w:pStyle w:val="TableBullet"/>
              <w:numPr>
                <w:ilvl w:val="0"/>
                <w:numId w:val="5"/>
              </w:numPr>
              <w:rPr>
                <w:rFonts w:ascii="Noto Sans" w:hAnsi="Noto Sans" w:cs="Noto Sans"/>
              </w:rPr>
            </w:pPr>
            <w:r w:rsidRPr="007412D2">
              <w:rPr>
                <w:rFonts w:ascii="Noto Sans" w:hAnsi="Noto Sans" w:cs="Noto Sans"/>
              </w:rPr>
              <w:t xml:space="preserve">submit an SIE methodology to </w:t>
            </w:r>
            <w:r w:rsidRPr="007412D2">
              <w:rPr>
                <w:rFonts w:ascii="Noto Sans" w:hAnsi="Noto Sans" w:cs="Noto Sans"/>
                <w:highlight w:val="yellow"/>
              </w:rPr>
              <w:t>&lt;&lt;Agency Name&gt;&gt; PSC/Executive</w:t>
            </w:r>
            <w:r w:rsidRPr="007412D2">
              <w:rPr>
                <w:rFonts w:ascii="Noto Sans" w:hAnsi="Noto Sans" w:cs="Noto Sans"/>
              </w:rPr>
              <w:t xml:space="preserve"> for approval prior to undertaking the SIE.</w:t>
            </w:r>
          </w:p>
          <w:p w14:paraId="64109E53" w14:textId="06F9D50E" w:rsidR="007C2ED3" w:rsidRPr="007412D2" w:rsidRDefault="007C2ED3" w:rsidP="007C2ED3">
            <w:pPr>
              <w:pStyle w:val="TableBullet"/>
              <w:numPr>
                <w:ilvl w:val="0"/>
                <w:numId w:val="5"/>
              </w:numPr>
              <w:rPr>
                <w:rFonts w:ascii="Noto Sans" w:hAnsi="Noto Sans" w:cs="Noto Sans"/>
              </w:rPr>
            </w:pPr>
            <w:r w:rsidRPr="007412D2">
              <w:rPr>
                <w:rFonts w:ascii="Noto Sans" w:hAnsi="Noto Sans" w:cs="Noto Sans"/>
              </w:rPr>
              <w:t xml:space="preserve">review stakeholder engagement activities conducted to date and </w:t>
            </w:r>
            <w:proofErr w:type="gramStart"/>
            <w:r w:rsidRPr="007412D2">
              <w:rPr>
                <w:rFonts w:ascii="Noto Sans" w:hAnsi="Noto Sans" w:cs="Noto Sans"/>
              </w:rPr>
              <w:t>undertake</w:t>
            </w:r>
            <w:proofErr w:type="gramEnd"/>
            <w:r w:rsidRPr="007412D2">
              <w:rPr>
                <w:rFonts w:ascii="Noto Sans" w:hAnsi="Noto Sans" w:cs="Noto Sans"/>
              </w:rPr>
              <w:t xml:space="preserve"> necessary workshops and detailed interviews to collect qualitative and quantitative social impact input data</w:t>
            </w:r>
          </w:p>
          <w:p w14:paraId="62C29338" w14:textId="77777777" w:rsidR="00BA2F54" w:rsidRPr="007412D2" w:rsidRDefault="007C2ED3" w:rsidP="00BA2F54">
            <w:pPr>
              <w:pStyle w:val="TableBullet2"/>
              <w:numPr>
                <w:ilvl w:val="1"/>
                <w:numId w:val="8"/>
              </w:numPr>
              <w:rPr>
                <w:rFonts w:ascii="Noto Sans" w:hAnsi="Noto Sans" w:cs="Noto Sans"/>
              </w:rPr>
            </w:pPr>
            <w:r w:rsidRPr="007412D2">
              <w:rPr>
                <w:rFonts w:ascii="Noto Sans" w:hAnsi="Noto Sans" w:cs="Noto Sans"/>
              </w:rPr>
              <w:t>develop the social impact baseline in collaboration with the Project Team and economics advisors.</w:t>
            </w:r>
          </w:p>
          <w:p w14:paraId="45C14F95" w14:textId="77777777" w:rsidR="00BA2F54" w:rsidRPr="007412D2" w:rsidRDefault="007C2ED3" w:rsidP="00BA2F54">
            <w:pPr>
              <w:pStyle w:val="TableBullet2"/>
              <w:numPr>
                <w:ilvl w:val="1"/>
                <w:numId w:val="8"/>
              </w:numPr>
              <w:rPr>
                <w:rFonts w:ascii="Noto Sans" w:hAnsi="Noto Sans" w:cs="Noto Sans"/>
              </w:rPr>
            </w:pPr>
            <w:r w:rsidRPr="007412D2">
              <w:rPr>
                <w:rFonts w:ascii="Noto Sans" w:hAnsi="Noto Sans" w:cs="Noto Sans"/>
              </w:rPr>
              <w:t>provide relevant information to other advisors including risk, design, economic, financial, implementation and planning advisors.</w:t>
            </w:r>
          </w:p>
          <w:p w14:paraId="6F2DE326" w14:textId="77777777" w:rsidR="00BA2F54" w:rsidRPr="007412D2" w:rsidRDefault="007C2ED3" w:rsidP="00BA2F54">
            <w:pPr>
              <w:pStyle w:val="TableBullet2"/>
              <w:numPr>
                <w:ilvl w:val="1"/>
                <w:numId w:val="8"/>
              </w:numPr>
              <w:rPr>
                <w:rFonts w:ascii="Noto Sans" w:hAnsi="Noto Sans" w:cs="Noto Sans"/>
              </w:rPr>
            </w:pPr>
            <w:r w:rsidRPr="007412D2">
              <w:rPr>
                <w:rFonts w:ascii="Noto Sans" w:hAnsi="Noto Sans" w:cs="Noto Sans"/>
              </w:rPr>
              <w:t>contribute to the risk and benefits registers.</w:t>
            </w:r>
          </w:p>
          <w:p w14:paraId="0E55E977" w14:textId="29B06560" w:rsidR="007C2ED3" w:rsidRPr="007412D2" w:rsidRDefault="007C2ED3" w:rsidP="00BA2F54">
            <w:pPr>
              <w:pStyle w:val="TableBullet2"/>
              <w:numPr>
                <w:ilvl w:val="1"/>
                <w:numId w:val="8"/>
              </w:numPr>
              <w:rPr>
                <w:rFonts w:ascii="Noto Sans" w:hAnsi="Noto Sans" w:cs="Noto Sans"/>
              </w:rPr>
            </w:pPr>
            <w:r w:rsidRPr="007412D2">
              <w:rPr>
                <w:rFonts w:ascii="Noto Sans" w:hAnsi="Noto Sans" w:cs="Noto Sans"/>
              </w:rPr>
              <w:t xml:space="preserve">liaise with </w:t>
            </w:r>
            <w:r w:rsidRPr="007412D2">
              <w:rPr>
                <w:rFonts w:ascii="Noto Sans" w:hAnsi="Noto Sans" w:cs="Noto Sans"/>
                <w:highlight w:val="yellow"/>
              </w:rPr>
              <w:t>&lt;&lt;Agency Name&gt;&gt;</w:t>
            </w:r>
            <w:r w:rsidRPr="007412D2">
              <w:rPr>
                <w:rFonts w:ascii="Noto Sans" w:hAnsi="Noto Sans" w:cs="Noto Sans"/>
              </w:rPr>
              <w:t xml:space="preserve"> advisors regarding the conduct of the SIE.</w:t>
            </w:r>
          </w:p>
          <w:p w14:paraId="28450804" w14:textId="77777777" w:rsidR="007412D2" w:rsidRPr="007412D2" w:rsidRDefault="007412D2" w:rsidP="007412D2">
            <w:pPr>
              <w:pStyle w:val="ListBullet"/>
              <w:ind w:left="360" w:hanging="360"/>
              <w:rPr>
                <w:rFonts w:ascii="Noto Sans" w:eastAsia="Times New Roman" w:hAnsi="Noto Sans" w:cs="Noto Sans"/>
                <w:b/>
                <w:bCs/>
                <w:color w:val="auto"/>
              </w:rPr>
            </w:pPr>
            <w:r w:rsidRPr="007412D2">
              <w:rPr>
                <w:rFonts w:ascii="Noto Sans" w:eastAsia="Times New Roman" w:hAnsi="Noto Sans" w:cs="Noto Sans"/>
                <w:b/>
                <w:bCs/>
                <w:color w:val="auto"/>
              </w:rPr>
              <w:t>Important Information</w:t>
            </w:r>
          </w:p>
          <w:p w14:paraId="7B513959" w14:textId="77777777" w:rsidR="007412D2" w:rsidRPr="007412D2" w:rsidRDefault="007412D2" w:rsidP="007412D2">
            <w:pPr>
              <w:pStyle w:val="ListParagraph"/>
              <w:numPr>
                <w:ilvl w:val="0"/>
                <w:numId w:val="5"/>
              </w:numPr>
              <w:rPr>
                <w:rFonts w:eastAsia="Times New Roman" w:cs="Noto Sans"/>
              </w:rPr>
            </w:pPr>
            <w:r w:rsidRPr="007412D2">
              <w:rPr>
                <w:rFonts w:eastAsia="Times New Roman" w:cs="Noto Sans"/>
              </w:rPr>
              <w:t>The Social Impact Evaluation chapter developed for the PBC will be provided to the successful tenderer post award.</w:t>
            </w:r>
          </w:p>
          <w:p w14:paraId="00A7CB2D" w14:textId="7611F880" w:rsidR="007C2ED3" w:rsidRDefault="007412D2" w:rsidP="007412D2">
            <w:pPr>
              <w:pStyle w:val="ListParagraph"/>
              <w:numPr>
                <w:ilvl w:val="0"/>
                <w:numId w:val="5"/>
              </w:numPr>
            </w:pPr>
            <w:r w:rsidRPr="007412D2">
              <w:rPr>
                <w:rFonts w:eastAsia="Times New Roman" w:cs="Noto Sans"/>
              </w:rPr>
              <w:t xml:space="preserve">This workstream will be supported by inputs from </w:t>
            </w:r>
            <w:r w:rsidRPr="007412D2">
              <w:rPr>
                <w:rFonts w:cs="Noto Sans"/>
                <w:highlight w:val="yellow"/>
              </w:rPr>
              <w:t>&lt;&lt;Agency Name&gt;&gt;</w:t>
            </w:r>
            <w:r w:rsidRPr="007412D2">
              <w:rPr>
                <w:rFonts w:cs="Noto Sans"/>
              </w:rPr>
              <w:t xml:space="preserve">, </w:t>
            </w:r>
            <w:r w:rsidRPr="007412D2">
              <w:rPr>
                <w:rFonts w:cs="Noto Sans"/>
                <w:highlight w:val="yellow"/>
              </w:rPr>
              <w:t>&lt;&lt;Agency Name&gt;&gt; PSC/Executive</w:t>
            </w:r>
            <w:r w:rsidRPr="007412D2">
              <w:t xml:space="preserve"> </w:t>
            </w:r>
            <w:r w:rsidRPr="009B67CF">
              <w:rPr>
                <w:rFonts w:eastAsia="Times New Roman"/>
              </w:rPr>
              <w:t>resources and the Project Team.</w:t>
            </w:r>
          </w:p>
        </w:tc>
        <w:tc>
          <w:tcPr>
            <w:tcW w:w="3311" w:type="dxa"/>
          </w:tcPr>
          <w:p w14:paraId="6669DC4C" w14:textId="77777777" w:rsidR="00A70BBA" w:rsidRPr="00A70BBA" w:rsidRDefault="00A70BBA" w:rsidP="00A70BBA">
            <w:pPr>
              <w:pStyle w:val="ListBullet"/>
              <w:numPr>
                <w:ilvl w:val="0"/>
                <w:numId w:val="5"/>
              </w:numPr>
              <w:spacing w:before="120" w:after="120"/>
              <w:rPr>
                <w:rFonts w:ascii="Noto Sans" w:hAnsi="Noto Sans" w:cs="Noto Sans"/>
                <w:color w:val="auto"/>
                <w:szCs w:val="20"/>
              </w:rPr>
            </w:pPr>
            <w:r w:rsidRPr="00A70BBA">
              <w:rPr>
                <w:rFonts w:ascii="Noto Sans" w:hAnsi="Noto Sans" w:cs="Noto Sans"/>
                <w:color w:val="auto"/>
                <w:szCs w:val="20"/>
              </w:rPr>
              <w:t>SIE methodology</w:t>
            </w:r>
          </w:p>
          <w:p w14:paraId="06352C73" w14:textId="77777777" w:rsidR="00A70BBA" w:rsidRPr="00A70BBA" w:rsidRDefault="00A70BBA" w:rsidP="00A70BBA">
            <w:pPr>
              <w:pStyle w:val="ListBullet"/>
              <w:numPr>
                <w:ilvl w:val="0"/>
                <w:numId w:val="5"/>
              </w:numPr>
              <w:spacing w:before="120" w:after="120"/>
              <w:rPr>
                <w:rFonts w:ascii="Noto Sans" w:hAnsi="Noto Sans" w:cs="Noto Sans"/>
                <w:color w:val="auto"/>
                <w:szCs w:val="20"/>
              </w:rPr>
            </w:pPr>
            <w:r w:rsidRPr="00A70BBA">
              <w:rPr>
                <w:rFonts w:ascii="Noto Sans" w:hAnsi="Noto Sans" w:cs="Noto Sans"/>
                <w:color w:val="auto"/>
                <w:szCs w:val="20"/>
              </w:rPr>
              <w:t>Impact workshop</w:t>
            </w:r>
          </w:p>
          <w:p w14:paraId="40F6ED47" w14:textId="77777777" w:rsidR="00A70BBA" w:rsidRPr="00A70BBA" w:rsidRDefault="00A70BBA" w:rsidP="00A70BBA">
            <w:pPr>
              <w:pStyle w:val="ListBullet"/>
              <w:numPr>
                <w:ilvl w:val="0"/>
                <w:numId w:val="5"/>
              </w:numPr>
              <w:spacing w:before="120" w:after="120"/>
              <w:rPr>
                <w:rFonts w:ascii="Noto Sans" w:hAnsi="Noto Sans" w:cs="Noto Sans"/>
                <w:color w:val="auto"/>
                <w:szCs w:val="20"/>
              </w:rPr>
            </w:pPr>
            <w:r w:rsidRPr="00A70BBA">
              <w:rPr>
                <w:rFonts w:ascii="Noto Sans" w:hAnsi="Noto Sans" w:cs="Noto Sans"/>
                <w:color w:val="auto"/>
                <w:szCs w:val="20"/>
              </w:rPr>
              <w:t>Benefits register</w:t>
            </w:r>
          </w:p>
          <w:p w14:paraId="5BF98ACB" w14:textId="77777777" w:rsidR="00A70BBA" w:rsidRPr="00A70BBA" w:rsidRDefault="00A70BBA" w:rsidP="00A70BBA">
            <w:pPr>
              <w:pStyle w:val="ListBullet"/>
              <w:numPr>
                <w:ilvl w:val="0"/>
                <w:numId w:val="5"/>
              </w:numPr>
              <w:spacing w:before="120" w:after="120"/>
              <w:rPr>
                <w:rFonts w:ascii="Noto Sans" w:hAnsi="Noto Sans" w:cs="Noto Sans"/>
                <w:color w:val="auto"/>
                <w:szCs w:val="20"/>
              </w:rPr>
            </w:pPr>
            <w:r w:rsidRPr="00A70BBA">
              <w:rPr>
                <w:rFonts w:ascii="Noto Sans" w:hAnsi="Noto Sans" w:cs="Noto Sans"/>
                <w:color w:val="auto"/>
                <w:szCs w:val="20"/>
              </w:rPr>
              <w:t>SIE report</w:t>
            </w:r>
          </w:p>
          <w:p w14:paraId="402A2C2E" w14:textId="0F4E6AF6" w:rsidR="00A70BBA" w:rsidRPr="00F76445" w:rsidRDefault="00A70BBA" w:rsidP="00A70BBA">
            <w:pPr>
              <w:pStyle w:val="ListBullet"/>
              <w:numPr>
                <w:ilvl w:val="0"/>
                <w:numId w:val="5"/>
              </w:numPr>
              <w:spacing w:before="120" w:after="120"/>
              <w:rPr>
                <w:rFonts w:ascii="Noto Sans" w:hAnsi="Noto Sans" w:cs="Noto Sans"/>
                <w:color w:val="auto"/>
                <w:szCs w:val="20"/>
              </w:rPr>
            </w:pPr>
            <w:r w:rsidRPr="00A70BBA">
              <w:rPr>
                <w:rFonts w:ascii="Noto Sans" w:hAnsi="Noto Sans" w:cs="Noto Sans"/>
                <w:color w:val="auto"/>
                <w:szCs w:val="20"/>
              </w:rPr>
              <w:t>SIE chapter</w:t>
            </w:r>
          </w:p>
        </w:tc>
      </w:tr>
      <w:tr w:rsidR="009C2FC1" w:rsidRPr="000A4767" w14:paraId="1107B14B" w14:textId="77777777" w:rsidTr="000F3E1F">
        <w:tc>
          <w:tcPr>
            <w:tcW w:w="1967" w:type="dxa"/>
            <w:shd w:val="clear" w:color="auto" w:fill="E6E6E6"/>
          </w:tcPr>
          <w:p w14:paraId="7287D72A" w14:textId="4D4E987C" w:rsidR="009C2FC1" w:rsidRPr="00E36904" w:rsidRDefault="00D44EF3" w:rsidP="00567FAA">
            <w:pPr>
              <w:rPr>
                <w:b/>
                <w:bCs/>
              </w:rPr>
            </w:pPr>
            <w:r w:rsidRPr="009B67CF">
              <w:rPr>
                <w:b/>
                <w:bCs/>
              </w:rPr>
              <w:t>Public Interest Consideration</w:t>
            </w:r>
          </w:p>
        </w:tc>
        <w:tc>
          <w:tcPr>
            <w:tcW w:w="5202" w:type="dxa"/>
          </w:tcPr>
          <w:p w14:paraId="3ECF7CD7" w14:textId="77777777" w:rsidR="00141A90" w:rsidRPr="00141A90" w:rsidRDefault="00141A90" w:rsidP="00141A90">
            <w:pPr>
              <w:pStyle w:val="ListBullet"/>
              <w:ind w:left="360" w:hanging="360"/>
              <w:rPr>
                <w:rFonts w:ascii="Noto Sans" w:eastAsia="Times New Roman" w:hAnsi="Noto Sans" w:cs="Noto Sans"/>
                <w:color w:val="auto"/>
              </w:rPr>
            </w:pPr>
            <w:r w:rsidRPr="00141A90">
              <w:rPr>
                <w:rFonts w:ascii="Noto Sans" w:eastAsia="Times New Roman" w:hAnsi="Noto Sans" w:cs="Noto Sans"/>
                <w:color w:val="auto"/>
              </w:rPr>
              <w:t>The Advisor will:</w:t>
            </w:r>
          </w:p>
          <w:p w14:paraId="67DA826D" w14:textId="77777777" w:rsidR="00141A90" w:rsidRPr="00141A90" w:rsidRDefault="00141A90" w:rsidP="00141A90">
            <w:pPr>
              <w:pStyle w:val="TableBullet"/>
              <w:numPr>
                <w:ilvl w:val="0"/>
                <w:numId w:val="5"/>
              </w:numPr>
              <w:rPr>
                <w:rFonts w:ascii="Noto Sans" w:hAnsi="Noto Sans" w:cs="Noto Sans"/>
              </w:rPr>
            </w:pPr>
            <w:r w:rsidRPr="00141A90">
              <w:rPr>
                <w:rFonts w:ascii="Noto Sans" w:hAnsi="Noto Sans" w:cs="Noto Sans"/>
              </w:rPr>
              <w:t>undertake public interest analysis for the Reference Project in accordance with the BCDF.</w:t>
            </w:r>
          </w:p>
          <w:p w14:paraId="30CC6498" w14:textId="23680026" w:rsidR="00141A90" w:rsidRPr="00141A90" w:rsidRDefault="00141A90" w:rsidP="00141A90">
            <w:pPr>
              <w:pStyle w:val="TableBullet"/>
              <w:numPr>
                <w:ilvl w:val="0"/>
                <w:numId w:val="5"/>
              </w:numPr>
              <w:rPr>
                <w:rFonts w:ascii="Noto Sans" w:hAnsi="Noto Sans" w:cs="Noto Sans"/>
              </w:rPr>
            </w:pPr>
            <w:r w:rsidRPr="00141A90">
              <w:rPr>
                <w:rFonts w:ascii="Noto Sans" w:hAnsi="Noto Sans" w:cs="Noto Sans"/>
              </w:rPr>
              <w:t>draft the Public Interest Considerations chapter for the DBC.</w:t>
            </w:r>
          </w:p>
          <w:p w14:paraId="2C3BDDE8" w14:textId="77777777" w:rsidR="00141A90" w:rsidRPr="00141A90" w:rsidRDefault="00141A90" w:rsidP="00141A90">
            <w:pPr>
              <w:pStyle w:val="ListBullet"/>
              <w:rPr>
                <w:rFonts w:ascii="Noto Sans" w:eastAsia="Times New Roman" w:hAnsi="Noto Sans" w:cs="Noto Sans"/>
                <w:color w:val="auto"/>
              </w:rPr>
            </w:pPr>
            <w:r w:rsidRPr="00141A90">
              <w:rPr>
                <w:rFonts w:ascii="Noto Sans" w:eastAsia="Times New Roman" w:hAnsi="Noto Sans" w:cs="Noto Sans"/>
                <w:color w:val="auto"/>
              </w:rPr>
              <w:t>Important Information</w:t>
            </w:r>
          </w:p>
          <w:p w14:paraId="0FBCDA16" w14:textId="77777777" w:rsidR="00141A90" w:rsidRPr="00141A90" w:rsidRDefault="00141A90" w:rsidP="00141A90">
            <w:pPr>
              <w:pStyle w:val="TableBullet"/>
              <w:numPr>
                <w:ilvl w:val="0"/>
                <w:numId w:val="5"/>
              </w:numPr>
              <w:rPr>
                <w:rFonts w:ascii="Noto Sans" w:hAnsi="Noto Sans" w:cs="Noto Sans"/>
              </w:rPr>
            </w:pPr>
            <w:r w:rsidRPr="00141A90">
              <w:rPr>
                <w:rFonts w:ascii="Noto Sans" w:hAnsi="Noto Sans" w:cs="Noto Sans"/>
              </w:rPr>
              <w:t>The outputs of the SIE and communication/stakeholder engagement workstream provide significant input into the content of this chapter.</w:t>
            </w:r>
          </w:p>
          <w:p w14:paraId="60566ABB" w14:textId="5B07386F" w:rsidR="00AA7BAD" w:rsidRPr="00AA73BD" w:rsidRDefault="00141A90" w:rsidP="00141A90">
            <w:pPr>
              <w:pStyle w:val="TableBullet"/>
              <w:numPr>
                <w:ilvl w:val="0"/>
                <w:numId w:val="5"/>
              </w:numPr>
              <w:rPr>
                <w:rFonts w:ascii="Noto Sans" w:hAnsi="Noto Sans" w:cs="Noto Sans"/>
              </w:rPr>
            </w:pPr>
            <w:r w:rsidRPr="00141A90">
              <w:rPr>
                <w:rFonts w:ascii="Noto Sans" w:hAnsi="Noto Sans" w:cs="Noto Sans"/>
              </w:rPr>
              <w:t xml:space="preserve">This task will be supported by inputs from the </w:t>
            </w:r>
            <w:r w:rsidRPr="00141A90">
              <w:rPr>
                <w:rFonts w:ascii="Noto Sans" w:hAnsi="Noto Sans" w:cs="Noto Sans"/>
                <w:highlight w:val="yellow"/>
              </w:rPr>
              <w:t>&lt;&lt;Agency Name&gt;&gt;</w:t>
            </w:r>
            <w:r w:rsidRPr="00141A90">
              <w:rPr>
                <w:rFonts w:ascii="Noto Sans" w:hAnsi="Noto Sans" w:cs="Noto Sans"/>
              </w:rPr>
              <w:t>, the Project Team and the DBC chapter authors.</w:t>
            </w:r>
          </w:p>
        </w:tc>
        <w:tc>
          <w:tcPr>
            <w:tcW w:w="3311" w:type="dxa"/>
          </w:tcPr>
          <w:p w14:paraId="6E49672A" w14:textId="2EAD557C" w:rsidR="0061604A" w:rsidRPr="0061604A" w:rsidRDefault="0061604A" w:rsidP="00AA73BD">
            <w:pPr>
              <w:pStyle w:val="TableListBullet"/>
              <w:numPr>
                <w:ilvl w:val="0"/>
                <w:numId w:val="5"/>
              </w:numPr>
              <w:rPr>
                <w:rFonts w:ascii="Noto Sans" w:hAnsi="Noto Sans" w:cs="Noto Sans"/>
                <w:color w:val="auto"/>
              </w:rPr>
            </w:pPr>
            <w:r w:rsidRPr="0061604A">
              <w:rPr>
                <w:rFonts w:ascii="Noto Sans" w:hAnsi="Noto Sans" w:cs="Noto Sans"/>
                <w:color w:val="auto"/>
              </w:rPr>
              <w:t>Public Interest Considerations chapter.</w:t>
            </w:r>
          </w:p>
        </w:tc>
      </w:tr>
      <w:tr w:rsidR="00CD3026" w:rsidRPr="000A4767" w14:paraId="2A52309F" w14:textId="77777777" w:rsidTr="000F3E1F">
        <w:tc>
          <w:tcPr>
            <w:tcW w:w="1967" w:type="dxa"/>
            <w:shd w:val="clear" w:color="auto" w:fill="E6E6E6"/>
          </w:tcPr>
          <w:p w14:paraId="6FA4ED9E" w14:textId="3A9BDCF1" w:rsidR="00CD3026" w:rsidRDefault="006E374A" w:rsidP="00567FAA">
            <w:pPr>
              <w:rPr>
                <w:b/>
                <w:bCs/>
              </w:rPr>
            </w:pPr>
            <w:r w:rsidRPr="009B67CF">
              <w:rPr>
                <w:b/>
                <w:bCs/>
              </w:rPr>
              <w:t>Sustainability Assessment</w:t>
            </w:r>
          </w:p>
        </w:tc>
        <w:tc>
          <w:tcPr>
            <w:tcW w:w="5202" w:type="dxa"/>
          </w:tcPr>
          <w:p w14:paraId="5B56234E" w14:textId="77777777" w:rsidR="003E38E6" w:rsidRPr="003E38E6" w:rsidRDefault="003E38E6" w:rsidP="003E38E6">
            <w:pPr>
              <w:pStyle w:val="ListBullet"/>
              <w:ind w:left="360" w:hanging="360"/>
              <w:rPr>
                <w:rFonts w:ascii="Noto Sans" w:eastAsia="Times New Roman" w:hAnsi="Noto Sans" w:cs="Noto Sans"/>
                <w:b/>
                <w:bCs/>
                <w:color w:val="auto"/>
              </w:rPr>
            </w:pPr>
            <w:r w:rsidRPr="003E38E6">
              <w:rPr>
                <w:rFonts w:ascii="Noto Sans" w:eastAsia="Times New Roman" w:hAnsi="Noto Sans" w:cs="Noto Sans"/>
                <w:b/>
                <w:bCs/>
                <w:color w:val="auto"/>
              </w:rPr>
              <w:t>The Advisor will:</w:t>
            </w:r>
          </w:p>
          <w:p w14:paraId="12955602" w14:textId="77777777" w:rsidR="003E38E6" w:rsidRPr="003E38E6" w:rsidRDefault="003E38E6" w:rsidP="003E38E6">
            <w:pPr>
              <w:pStyle w:val="TableBullet"/>
              <w:numPr>
                <w:ilvl w:val="0"/>
                <w:numId w:val="5"/>
              </w:numPr>
              <w:rPr>
                <w:rFonts w:ascii="Noto Sans" w:hAnsi="Noto Sans" w:cs="Noto Sans"/>
              </w:rPr>
            </w:pPr>
            <w:r w:rsidRPr="003E38E6">
              <w:rPr>
                <w:rFonts w:ascii="Noto Sans" w:hAnsi="Noto Sans" w:cs="Noto Sans"/>
              </w:rPr>
              <w:t>undertake a sustainability assessment of the Reference Project in accordance with the BCDF.</w:t>
            </w:r>
          </w:p>
          <w:p w14:paraId="06114912" w14:textId="77777777" w:rsidR="003E38E6" w:rsidRPr="003E38E6" w:rsidRDefault="003E38E6" w:rsidP="003E38E6">
            <w:pPr>
              <w:pStyle w:val="TableBullet"/>
              <w:numPr>
                <w:ilvl w:val="0"/>
                <w:numId w:val="5"/>
              </w:numPr>
              <w:rPr>
                <w:rFonts w:ascii="Noto Sans" w:hAnsi="Noto Sans" w:cs="Noto Sans"/>
              </w:rPr>
            </w:pPr>
            <w:r w:rsidRPr="003E38E6">
              <w:rPr>
                <w:rFonts w:ascii="Noto Sans" w:hAnsi="Noto Sans" w:cs="Noto Sans"/>
              </w:rPr>
              <w:t>draft the Sustainability Assessment chapter.</w:t>
            </w:r>
          </w:p>
          <w:p w14:paraId="602CEFCF" w14:textId="77777777" w:rsidR="003E38E6" w:rsidRPr="003E38E6" w:rsidRDefault="003E38E6" w:rsidP="003E38E6">
            <w:pPr>
              <w:pStyle w:val="TableBullet"/>
              <w:numPr>
                <w:ilvl w:val="0"/>
                <w:numId w:val="5"/>
              </w:numPr>
              <w:rPr>
                <w:rFonts w:ascii="Noto Sans" w:hAnsi="Noto Sans" w:cs="Noto Sans"/>
              </w:rPr>
            </w:pPr>
            <w:r w:rsidRPr="003E38E6">
              <w:rPr>
                <w:rFonts w:ascii="Noto Sans" w:hAnsi="Noto Sans" w:cs="Noto Sans"/>
              </w:rPr>
              <w:t>provide detailed discussion around sustainability strategies and activities stemming from the Project for each sustainability principle.</w:t>
            </w:r>
          </w:p>
          <w:p w14:paraId="36F8C1D9" w14:textId="77777777" w:rsidR="003E38E6" w:rsidRPr="003E38E6" w:rsidRDefault="003E38E6" w:rsidP="003E38E6">
            <w:pPr>
              <w:pStyle w:val="ListBullet"/>
              <w:rPr>
                <w:rFonts w:ascii="Noto Sans" w:eastAsia="Times New Roman" w:hAnsi="Noto Sans" w:cs="Noto Sans"/>
                <w:b/>
                <w:bCs/>
                <w:color w:val="auto"/>
              </w:rPr>
            </w:pPr>
            <w:r w:rsidRPr="003E38E6">
              <w:rPr>
                <w:rFonts w:ascii="Noto Sans" w:eastAsia="Times New Roman" w:hAnsi="Noto Sans" w:cs="Noto Sans"/>
                <w:b/>
                <w:bCs/>
                <w:color w:val="auto"/>
              </w:rPr>
              <w:t>Important Information</w:t>
            </w:r>
          </w:p>
          <w:p w14:paraId="00318005" w14:textId="77777777" w:rsidR="003E38E6" w:rsidRPr="003E38E6" w:rsidRDefault="003E38E6" w:rsidP="003E38E6">
            <w:pPr>
              <w:pStyle w:val="TableBullet"/>
              <w:numPr>
                <w:ilvl w:val="0"/>
                <w:numId w:val="5"/>
              </w:numPr>
              <w:rPr>
                <w:rFonts w:ascii="Noto Sans" w:hAnsi="Noto Sans" w:cs="Noto Sans"/>
              </w:rPr>
            </w:pPr>
            <w:r w:rsidRPr="003E38E6">
              <w:rPr>
                <w:rFonts w:ascii="Noto Sans" w:hAnsi="Noto Sans" w:cs="Noto Sans"/>
              </w:rPr>
              <w:t>A sustainability assessment synthesises information from the economic, social, environmental and infrastructure assessments of the Reference Project. The Advisor will be required to coordinate and work directly with other advisors to ensure sufficient inputs are received and shared and there is consistent messaging across chapters.</w:t>
            </w:r>
          </w:p>
          <w:p w14:paraId="253CB6DE" w14:textId="0608FFA9" w:rsidR="00CD3026" w:rsidRPr="00AA7BAD" w:rsidRDefault="003E38E6" w:rsidP="003E38E6">
            <w:pPr>
              <w:pStyle w:val="TableBullet"/>
              <w:numPr>
                <w:ilvl w:val="0"/>
                <w:numId w:val="5"/>
              </w:numPr>
              <w:rPr>
                <w:rFonts w:ascii="Noto Sans" w:hAnsi="Noto Sans" w:cs="Noto Sans"/>
              </w:rPr>
            </w:pPr>
            <w:r w:rsidRPr="003E38E6">
              <w:rPr>
                <w:rFonts w:ascii="Noto Sans" w:hAnsi="Noto Sans" w:cs="Noto Sans"/>
              </w:rPr>
              <w:t>In terms of timings, the sustainability assessment work component is to be completed after economic, social and environmental assessments have been conducted, thus ensuring that the completed sustainability work is suitably informed.</w:t>
            </w:r>
          </w:p>
        </w:tc>
        <w:tc>
          <w:tcPr>
            <w:tcW w:w="3311" w:type="dxa"/>
          </w:tcPr>
          <w:p w14:paraId="08223C8C" w14:textId="77777777" w:rsidR="003D6811" w:rsidRPr="003D6811" w:rsidRDefault="003D6811" w:rsidP="003D6811">
            <w:pPr>
              <w:pStyle w:val="TableListBullet"/>
              <w:numPr>
                <w:ilvl w:val="0"/>
                <w:numId w:val="5"/>
              </w:numPr>
              <w:rPr>
                <w:rFonts w:cs="Noto Sans"/>
                <w:color w:val="auto"/>
              </w:rPr>
            </w:pPr>
            <w:r w:rsidRPr="003D6811">
              <w:rPr>
                <w:rFonts w:cs="Noto Sans"/>
                <w:color w:val="auto"/>
              </w:rPr>
              <w:t>Final peer review report (</w:t>
            </w:r>
            <w:r w:rsidRPr="003D6811">
              <w:rPr>
                <w:rFonts w:cs="Noto Sans"/>
                <w:color w:val="auto"/>
                <w:highlight w:val="yellow"/>
              </w:rPr>
              <w:t>concept design</w:t>
            </w:r>
            <w:r w:rsidRPr="003D6811">
              <w:rPr>
                <w:rFonts w:cs="Noto Sans"/>
                <w:color w:val="auto"/>
              </w:rPr>
              <w:t>)</w:t>
            </w:r>
          </w:p>
          <w:p w14:paraId="25402EDA" w14:textId="247972D8" w:rsidR="00CD3026" w:rsidRPr="00B54564" w:rsidRDefault="003D6811" w:rsidP="003D6811">
            <w:pPr>
              <w:pStyle w:val="TableListBullet"/>
              <w:numPr>
                <w:ilvl w:val="0"/>
                <w:numId w:val="5"/>
              </w:numPr>
              <w:rPr>
                <w:rFonts w:ascii="Noto Sans" w:hAnsi="Noto Sans" w:cs="Noto Sans"/>
                <w:color w:val="auto"/>
              </w:rPr>
            </w:pPr>
            <w:r w:rsidRPr="003D6811">
              <w:rPr>
                <w:rFonts w:ascii="Noto Sans" w:hAnsi="Noto Sans" w:cs="Noto Sans"/>
                <w:color w:val="auto"/>
              </w:rPr>
              <w:t>Peer review summary report.</w:t>
            </w:r>
          </w:p>
        </w:tc>
      </w:tr>
      <w:tr w:rsidR="00CD3026" w:rsidRPr="009C444F" w14:paraId="66E3E7D5" w14:textId="77777777" w:rsidTr="000F3E1F">
        <w:tc>
          <w:tcPr>
            <w:tcW w:w="1967" w:type="dxa"/>
            <w:shd w:val="clear" w:color="auto" w:fill="E6E6E6"/>
          </w:tcPr>
          <w:p w14:paraId="67822FC1" w14:textId="0F89B15E" w:rsidR="00CD3026" w:rsidRDefault="00DA377C" w:rsidP="0099406D">
            <w:pPr>
              <w:rPr>
                <w:b/>
                <w:bCs/>
              </w:rPr>
            </w:pPr>
            <w:r>
              <w:rPr>
                <w:b/>
                <w:bCs/>
              </w:rPr>
              <w:t>Other</w:t>
            </w:r>
          </w:p>
        </w:tc>
        <w:tc>
          <w:tcPr>
            <w:tcW w:w="5202" w:type="dxa"/>
          </w:tcPr>
          <w:p w14:paraId="29168E95" w14:textId="77777777" w:rsidR="00CF68D0" w:rsidRPr="00E7409D" w:rsidRDefault="00CF68D0" w:rsidP="00CF68D0">
            <w:pPr>
              <w:pStyle w:val="ListBullet"/>
              <w:ind w:left="31"/>
              <w:rPr>
                <w:rFonts w:ascii="Noto Sans" w:eastAsia="Times New Roman" w:hAnsi="Noto Sans" w:cs="Noto Sans"/>
                <w:color w:val="auto"/>
              </w:rPr>
            </w:pPr>
            <w:r w:rsidRPr="00E7409D">
              <w:rPr>
                <w:rFonts w:ascii="Noto Sans" w:eastAsia="Times New Roman" w:hAnsi="Noto Sans" w:cs="Noto Sans"/>
                <w:color w:val="auto"/>
              </w:rPr>
              <w:t>In addition to the services detailed above, the Advisor will be required to actively contribute to activities such as:</w:t>
            </w:r>
          </w:p>
          <w:p w14:paraId="6168A578" w14:textId="77777777" w:rsidR="00CF68D0" w:rsidRPr="00E7409D" w:rsidRDefault="00CF68D0" w:rsidP="00CF68D0">
            <w:pPr>
              <w:pStyle w:val="TableBullet"/>
              <w:numPr>
                <w:ilvl w:val="0"/>
                <w:numId w:val="5"/>
              </w:numPr>
              <w:rPr>
                <w:rFonts w:ascii="Noto Sans" w:hAnsi="Noto Sans" w:cs="Noto Sans"/>
              </w:rPr>
            </w:pPr>
            <w:r w:rsidRPr="00E7409D">
              <w:rPr>
                <w:rFonts w:ascii="Noto Sans" w:hAnsi="Noto Sans" w:cs="Noto Sans"/>
              </w:rPr>
              <w:t>independent peer reviews</w:t>
            </w:r>
          </w:p>
          <w:p w14:paraId="06A0E768" w14:textId="77777777" w:rsidR="00CF68D0" w:rsidRPr="00E7409D" w:rsidRDefault="00CF68D0" w:rsidP="00CF68D0">
            <w:pPr>
              <w:pStyle w:val="TableBullet"/>
              <w:numPr>
                <w:ilvl w:val="0"/>
                <w:numId w:val="5"/>
              </w:numPr>
              <w:rPr>
                <w:rFonts w:ascii="Noto Sans" w:hAnsi="Noto Sans" w:cs="Noto Sans"/>
              </w:rPr>
            </w:pPr>
            <w:r w:rsidRPr="00E7409D">
              <w:rPr>
                <w:rFonts w:ascii="Noto Sans" w:hAnsi="Noto Sans" w:cs="Noto Sans"/>
              </w:rPr>
              <w:t>gateway reviews</w:t>
            </w:r>
          </w:p>
          <w:p w14:paraId="65DA2917" w14:textId="77777777" w:rsidR="00CF68D0" w:rsidRPr="00E7409D" w:rsidRDefault="00CF68D0" w:rsidP="00CF68D0">
            <w:pPr>
              <w:pStyle w:val="TableBullet"/>
              <w:numPr>
                <w:ilvl w:val="0"/>
                <w:numId w:val="5"/>
              </w:numPr>
              <w:rPr>
                <w:rFonts w:ascii="Noto Sans" w:hAnsi="Noto Sans" w:cs="Noto Sans"/>
              </w:rPr>
            </w:pPr>
            <w:r w:rsidRPr="00E7409D">
              <w:rPr>
                <w:rFonts w:ascii="Noto Sans" w:hAnsi="Noto Sans" w:cs="Noto Sans"/>
              </w:rPr>
              <w:t>project close out activities</w:t>
            </w:r>
          </w:p>
          <w:p w14:paraId="7D674CEA" w14:textId="77777777" w:rsidR="00CF68D0" w:rsidRPr="00E7409D" w:rsidRDefault="00CF68D0" w:rsidP="00CF68D0">
            <w:pPr>
              <w:pStyle w:val="TableBullet"/>
              <w:numPr>
                <w:ilvl w:val="0"/>
                <w:numId w:val="5"/>
              </w:numPr>
              <w:rPr>
                <w:rFonts w:ascii="Noto Sans" w:hAnsi="Noto Sans" w:cs="Noto Sans"/>
              </w:rPr>
            </w:pPr>
            <w:r w:rsidRPr="00E7409D">
              <w:rPr>
                <w:rFonts w:ascii="Noto Sans" w:hAnsi="Noto Sans" w:cs="Noto Sans"/>
              </w:rPr>
              <w:t>lessons learned processes</w:t>
            </w:r>
          </w:p>
          <w:p w14:paraId="7EFEACFB" w14:textId="77777777" w:rsidR="00CF68D0" w:rsidRPr="00E7409D" w:rsidRDefault="00CF68D0" w:rsidP="00CF68D0">
            <w:pPr>
              <w:pStyle w:val="TableBullet"/>
              <w:numPr>
                <w:ilvl w:val="0"/>
                <w:numId w:val="5"/>
              </w:numPr>
              <w:rPr>
                <w:rFonts w:ascii="Noto Sans" w:hAnsi="Noto Sans" w:cs="Noto Sans"/>
              </w:rPr>
            </w:pPr>
            <w:r w:rsidRPr="00E7409D">
              <w:rPr>
                <w:rFonts w:ascii="Noto Sans" w:hAnsi="Noto Sans" w:cs="Noto Sans"/>
              </w:rPr>
              <w:t>and may be asked to contribute to:</w:t>
            </w:r>
          </w:p>
          <w:p w14:paraId="6B0D841E" w14:textId="1F42459F" w:rsidR="00CF68D0" w:rsidRPr="00E7409D" w:rsidRDefault="00CF68D0" w:rsidP="00CF68D0">
            <w:pPr>
              <w:pStyle w:val="TableBullet2"/>
              <w:numPr>
                <w:ilvl w:val="1"/>
                <w:numId w:val="8"/>
              </w:numPr>
              <w:rPr>
                <w:rFonts w:ascii="Noto Sans" w:hAnsi="Noto Sans" w:cs="Noto Sans"/>
              </w:rPr>
            </w:pPr>
            <w:r w:rsidRPr="00E7409D">
              <w:rPr>
                <w:rFonts w:ascii="Noto Sans" w:hAnsi="Noto Sans" w:cs="Noto Sans"/>
              </w:rPr>
              <w:t>respond to ad-hoc information requests related to the scope of service</w:t>
            </w:r>
          </w:p>
          <w:p w14:paraId="086EE458" w14:textId="42A91167" w:rsidR="00CD3026" w:rsidRPr="00E7409D" w:rsidRDefault="00CF68D0" w:rsidP="00CF68D0">
            <w:pPr>
              <w:pStyle w:val="TableBullet2"/>
              <w:numPr>
                <w:ilvl w:val="1"/>
                <w:numId w:val="8"/>
              </w:numPr>
              <w:rPr>
                <w:rFonts w:ascii="Noto Sans" w:hAnsi="Noto Sans" w:cs="Noto Sans"/>
              </w:rPr>
            </w:pPr>
            <w:r w:rsidRPr="00E7409D">
              <w:rPr>
                <w:rFonts w:ascii="Noto Sans" w:hAnsi="Noto Sans" w:cs="Noto Sans"/>
              </w:rPr>
              <w:t xml:space="preserve">participate in and present at other workshops, the project working group, </w:t>
            </w:r>
            <w:r w:rsidRPr="006127DC">
              <w:rPr>
                <w:rFonts w:ascii="Noto Sans" w:hAnsi="Noto Sans" w:cs="Noto Sans"/>
                <w:highlight w:val="yellow"/>
              </w:rPr>
              <w:t>&lt;&lt;Agency Name&gt;&gt; PSC/Executive</w:t>
            </w:r>
            <w:r w:rsidRPr="00E7409D">
              <w:rPr>
                <w:rFonts w:ascii="Noto Sans" w:hAnsi="Noto Sans" w:cs="Noto Sans"/>
              </w:rPr>
              <w:t xml:space="preserve"> meetings.</w:t>
            </w:r>
          </w:p>
        </w:tc>
        <w:tc>
          <w:tcPr>
            <w:tcW w:w="3311" w:type="dxa"/>
          </w:tcPr>
          <w:p w14:paraId="213AC6A8" w14:textId="669F1DC2" w:rsidR="009C444F" w:rsidRPr="009C444F" w:rsidRDefault="009C444F" w:rsidP="004F0DDF">
            <w:pPr>
              <w:pStyle w:val="TableListBullet"/>
              <w:numPr>
                <w:ilvl w:val="0"/>
                <w:numId w:val="5"/>
              </w:numPr>
              <w:rPr>
                <w:rFonts w:ascii="Noto Sans" w:hAnsi="Noto Sans" w:cs="Noto Sans"/>
                <w:color w:val="auto"/>
              </w:rPr>
            </w:pPr>
            <w:r w:rsidRPr="009C444F">
              <w:rPr>
                <w:rFonts w:ascii="Noto Sans" w:hAnsi="Noto Sans" w:cs="Noto Sans"/>
                <w:color w:val="auto"/>
              </w:rPr>
              <w:t>Prepare briefings, correspondence, Q&amp;As, briefing notes and reports in addition to those actions required within each of the workstreams above.</w:t>
            </w:r>
          </w:p>
        </w:tc>
      </w:tr>
    </w:tbl>
    <w:p w14:paraId="720CF0EA" w14:textId="651A3305" w:rsidR="006D3BF1" w:rsidRPr="006D3BF1" w:rsidRDefault="0049066C" w:rsidP="005A1334">
      <w:pPr>
        <w:pStyle w:val="Heading1"/>
        <w:numPr>
          <w:ilvl w:val="0"/>
          <w:numId w:val="13"/>
        </w:numPr>
      </w:pPr>
      <w:r>
        <w:t>Out of Scope</w:t>
      </w:r>
    </w:p>
    <w:p w14:paraId="3B1013EC" w14:textId="77777777" w:rsidR="00043BC2" w:rsidRPr="0035378C" w:rsidRDefault="00043BC2" w:rsidP="00043BC2">
      <w:pPr>
        <w:rPr>
          <w:bCs/>
        </w:rPr>
      </w:pPr>
      <w:r w:rsidRPr="0035378C">
        <w:rPr>
          <w:bCs/>
        </w:rPr>
        <w:t>The following work is excluded from the scope of work for this engagement, subject to any qualifications noted in the Detailed Scope of Work above:</w:t>
      </w:r>
    </w:p>
    <w:p w14:paraId="72D927C9" w14:textId="77777777" w:rsidR="00043BC2" w:rsidRDefault="00043BC2" w:rsidP="00043BC2">
      <w:pPr>
        <w:pStyle w:val="ListParagraph"/>
        <w:numPr>
          <w:ilvl w:val="0"/>
          <w:numId w:val="5"/>
        </w:numPr>
        <w:spacing w:before="120"/>
        <w:rPr>
          <w:bCs/>
        </w:rPr>
      </w:pPr>
      <w:r w:rsidRPr="00043BC2">
        <w:rPr>
          <w:bCs/>
        </w:rPr>
        <w:t xml:space="preserve">Community consultation on site selection or acquisition beyond supporting </w:t>
      </w:r>
      <w:r w:rsidRPr="00043BC2">
        <w:rPr>
          <w:highlight w:val="yellow"/>
        </w:rPr>
        <w:t xml:space="preserve">&lt;&lt;Agency Name&gt;&gt; </w:t>
      </w:r>
      <w:r w:rsidRPr="00043BC2">
        <w:rPr>
          <w:bCs/>
        </w:rPr>
        <w:t>planning and messaging.</w:t>
      </w:r>
    </w:p>
    <w:p w14:paraId="2C06BF44" w14:textId="2476F000" w:rsidR="007C13E3" w:rsidRPr="0011160F" w:rsidRDefault="00423C50" w:rsidP="005A1334">
      <w:pPr>
        <w:pStyle w:val="Heading1"/>
        <w:keepNext/>
        <w:widowControl/>
        <w:numPr>
          <w:ilvl w:val="0"/>
          <w:numId w:val="13"/>
        </w:numPr>
        <w:rPr>
          <w:lang w:eastAsia="en-AU"/>
        </w:rPr>
      </w:pPr>
      <w:r w:rsidRPr="00423C50">
        <w:rPr>
          <w:lang w:eastAsia="en-AU"/>
        </w:rPr>
        <w:t xml:space="preserve">Reporting </w:t>
      </w:r>
      <w:r w:rsidR="00906814">
        <w:rPr>
          <w:lang w:eastAsia="en-AU"/>
        </w:rPr>
        <w:t>requirements</w:t>
      </w:r>
    </w:p>
    <w:p w14:paraId="2772FB6B" w14:textId="77777777" w:rsidR="00907B78" w:rsidRPr="0035378C" w:rsidRDefault="00907B78" w:rsidP="005A1334">
      <w:pPr>
        <w:keepNext/>
        <w:rPr>
          <w:bCs/>
        </w:rPr>
      </w:pPr>
      <w:r w:rsidRPr="0035378C">
        <w:rPr>
          <w:bCs/>
        </w:rPr>
        <w:t>The successful Advisor will report directly to and will work under the direction of the Project Director or Project Manager, as required.</w:t>
      </w:r>
    </w:p>
    <w:p w14:paraId="012409EC" w14:textId="77777777" w:rsidR="00907B78" w:rsidRPr="0035378C" w:rsidRDefault="00907B78" w:rsidP="005A1334">
      <w:pPr>
        <w:keepNext/>
        <w:rPr>
          <w:bCs/>
        </w:rPr>
      </w:pPr>
      <w:r w:rsidRPr="0035378C">
        <w:rPr>
          <w:bCs/>
        </w:rPr>
        <w:t>Decisions, including the scope, make-up of analytical components, and their proposed evaluation is to be formally documented and mutually agreed to with the nominated contact, and formally communicated, preferably through electronic mail.</w:t>
      </w:r>
    </w:p>
    <w:p w14:paraId="5E9D523D" w14:textId="77777777" w:rsidR="00907B78" w:rsidRPr="0035378C" w:rsidRDefault="00907B78" w:rsidP="005A1334">
      <w:pPr>
        <w:keepNext/>
        <w:rPr>
          <w:bCs/>
        </w:rPr>
      </w:pPr>
      <w:r w:rsidRPr="0035378C">
        <w:rPr>
          <w:bCs/>
        </w:rPr>
        <w:t>The following reporting requirements are mandatory:</w:t>
      </w:r>
    </w:p>
    <w:p w14:paraId="5468CE25" w14:textId="77777777" w:rsidR="00907B78" w:rsidRPr="004E6E3D" w:rsidRDefault="00907B78" w:rsidP="005A1334">
      <w:pPr>
        <w:pStyle w:val="ListParagraph"/>
        <w:keepNext/>
        <w:numPr>
          <w:ilvl w:val="0"/>
          <w:numId w:val="5"/>
        </w:numPr>
        <w:spacing w:before="120"/>
        <w:rPr>
          <w:bCs/>
        </w:rPr>
      </w:pPr>
      <w:r w:rsidRPr="0035378C">
        <w:rPr>
          <w:bCs/>
        </w:rPr>
        <w:t xml:space="preserve">Participation in </w:t>
      </w:r>
      <w:r w:rsidRPr="004E6E3D">
        <w:rPr>
          <w:bCs/>
        </w:rPr>
        <w:t xml:space="preserve">weekly project status meetings. </w:t>
      </w:r>
    </w:p>
    <w:p w14:paraId="53B93A88" w14:textId="77777777" w:rsidR="00907B78" w:rsidRPr="00907B78" w:rsidRDefault="00907B78" w:rsidP="005A1334">
      <w:pPr>
        <w:pStyle w:val="ListParagraph"/>
        <w:keepNext/>
        <w:numPr>
          <w:ilvl w:val="0"/>
          <w:numId w:val="5"/>
        </w:numPr>
        <w:spacing w:before="120"/>
        <w:rPr>
          <w:bCs/>
        </w:rPr>
      </w:pPr>
      <w:r w:rsidRPr="004E6E3D">
        <w:rPr>
          <w:bCs/>
        </w:rPr>
        <w:t xml:space="preserve">Facilitation and leadership of user group meetings </w:t>
      </w:r>
      <w:r>
        <w:rPr>
          <w:bCs/>
        </w:rPr>
        <w:t>(</w:t>
      </w:r>
      <w:r w:rsidRPr="00907B78">
        <w:rPr>
          <w:bCs/>
        </w:rPr>
        <w:t>as required).</w:t>
      </w:r>
    </w:p>
    <w:p w14:paraId="04074C20" w14:textId="77777777" w:rsidR="00907B78" w:rsidRPr="0035378C" w:rsidRDefault="00907B78" w:rsidP="005A1334">
      <w:pPr>
        <w:pStyle w:val="ListParagraph"/>
        <w:keepNext/>
        <w:numPr>
          <w:ilvl w:val="0"/>
          <w:numId w:val="5"/>
        </w:numPr>
        <w:spacing w:before="120"/>
        <w:rPr>
          <w:bCs/>
        </w:rPr>
      </w:pPr>
      <w:r w:rsidRPr="0035378C">
        <w:rPr>
          <w:bCs/>
        </w:rPr>
        <w:t>Input to the Monthly Project Milestone Reports prepared by the Project Director</w:t>
      </w:r>
    </w:p>
    <w:p w14:paraId="27001D80" w14:textId="77777777" w:rsidR="00907B78" w:rsidRPr="00BC5876" w:rsidRDefault="00907B78" w:rsidP="005A1334">
      <w:pPr>
        <w:pStyle w:val="ListParagraph"/>
        <w:keepNext/>
        <w:numPr>
          <w:ilvl w:val="0"/>
          <w:numId w:val="5"/>
        </w:numPr>
        <w:spacing w:before="120"/>
        <w:rPr>
          <w:bCs/>
        </w:rPr>
      </w:pPr>
      <w:r w:rsidRPr="0035378C">
        <w:rPr>
          <w:bCs/>
        </w:rPr>
        <w:t xml:space="preserve">Milestone invoicing supported by documentation with sufficient detail to clearly allocate time to tasks within the program is required and forwarded to the </w:t>
      </w:r>
      <w:r w:rsidRPr="005C2A8E">
        <w:rPr>
          <w:highlight w:val="yellow"/>
        </w:rPr>
        <w:t>&lt;&lt;</w:t>
      </w:r>
      <w:r w:rsidRPr="00521816">
        <w:rPr>
          <w:highlight w:val="yellow"/>
        </w:rPr>
        <w:t xml:space="preserve">Agency Name&gt;&gt; </w:t>
      </w:r>
      <w:r w:rsidRPr="0035378C">
        <w:rPr>
          <w:bCs/>
        </w:rPr>
        <w:t xml:space="preserve">at </w:t>
      </w:r>
      <w:r w:rsidRPr="005C2A8E">
        <w:rPr>
          <w:highlight w:val="yellow"/>
        </w:rPr>
        <w:t>&lt;&lt;</w:t>
      </w:r>
      <w:r>
        <w:rPr>
          <w:highlight w:val="yellow"/>
        </w:rPr>
        <w:t>Insert</w:t>
      </w:r>
      <w:r w:rsidRPr="00521816">
        <w:rPr>
          <w:highlight w:val="yellow"/>
        </w:rPr>
        <w:t>&gt;&gt;</w:t>
      </w:r>
      <w:r>
        <w:t>.</w:t>
      </w:r>
    </w:p>
    <w:p w14:paraId="2DEF914B" w14:textId="57B4BF07" w:rsidR="003C632B" w:rsidRDefault="00907B78" w:rsidP="005A1334">
      <w:pPr>
        <w:pStyle w:val="Heading1"/>
        <w:numPr>
          <w:ilvl w:val="0"/>
          <w:numId w:val="13"/>
        </w:numPr>
      </w:pPr>
      <w:r>
        <w:t xml:space="preserve">Business Case </w:t>
      </w:r>
      <w:r w:rsidR="00906814">
        <w:t>c</w:t>
      </w:r>
      <w:r>
        <w:t xml:space="preserve">hapter </w:t>
      </w:r>
      <w:r w:rsidR="00906814">
        <w:t>d</w:t>
      </w:r>
      <w:r>
        <w:t xml:space="preserve">evelopment </w:t>
      </w:r>
    </w:p>
    <w:tbl>
      <w:tblPr>
        <w:tblStyle w:val="Table-QldBlue"/>
        <w:tblW w:w="5067" w:type="pct"/>
        <w:tblLayout w:type="fixed"/>
        <w:tblLook w:val="0620" w:firstRow="1" w:lastRow="0" w:firstColumn="0" w:lastColumn="0" w:noHBand="1" w:noVBand="1"/>
      </w:tblPr>
      <w:tblGrid>
        <w:gridCol w:w="846"/>
        <w:gridCol w:w="2645"/>
        <w:gridCol w:w="7129"/>
      </w:tblGrid>
      <w:tr w:rsidR="00386053" w:rsidRPr="00AC47E8" w14:paraId="02D5D63E" w14:textId="77777777" w:rsidTr="00F74768">
        <w:trPr>
          <w:cnfStyle w:val="100000000000" w:firstRow="1" w:lastRow="0" w:firstColumn="0" w:lastColumn="0" w:oddVBand="0" w:evenVBand="0" w:oddHBand="0" w:evenHBand="0" w:firstRowFirstColumn="0" w:firstRowLastColumn="0" w:lastRowFirstColumn="0" w:lastRowLastColumn="0"/>
        </w:trPr>
        <w:tc>
          <w:tcPr>
            <w:tcW w:w="3491" w:type="dxa"/>
            <w:gridSpan w:val="2"/>
            <w:shd w:val="clear" w:color="auto" w:fill="002F5C" w:themeFill="text1" w:themeFillShade="80"/>
          </w:tcPr>
          <w:p w14:paraId="08A15554" w14:textId="2A8CF4E9" w:rsidR="00386053" w:rsidRPr="00386053" w:rsidRDefault="00386053" w:rsidP="00C81E2B">
            <w:pPr>
              <w:spacing w:before="60"/>
              <w:ind w:left="113" w:right="113"/>
            </w:pPr>
            <w:r w:rsidRPr="00386053">
              <w:t>Chapter</w:t>
            </w:r>
          </w:p>
        </w:tc>
        <w:tc>
          <w:tcPr>
            <w:tcW w:w="7129" w:type="dxa"/>
            <w:shd w:val="clear" w:color="auto" w:fill="002F5C" w:themeFill="text1" w:themeFillShade="80"/>
          </w:tcPr>
          <w:p w14:paraId="305332EF" w14:textId="460EB38A" w:rsidR="00386053" w:rsidRPr="00386053" w:rsidRDefault="00386053" w:rsidP="00C81E2B">
            <w:pPr>
              <w:spacing w:before="60"/>
              <w:ind w:left="113" w:right="113"/>
              <w:rPr>
                <w:b w:val="0"/>
                <w:bCs/>
              </w:rPr>
            </w:pPr>
            <w:r w:rsidRPr="00386053">
              <w:t>Author</w:t>
            </w:r>
          </w:p>
        </w:tc>
      </w:tr>
      <w:tr w:rsidR="00386053" w:rsidRPr="00AC47E8" w14:paraId="3E4BB03C" w14:textId="77777777" w:rsidTr="00386053">
        <w:tc>
          <w:tcPr>
            <w:tcW w:w="846" w:type="dxa"/>
            <w:shd w:val="clear" w:color="auto" w:fill="E6E6E6"/>
          </w:tcPr>
          <w:p w14:paraId="45FF56CE" w14:textId="77777777" w:rsidR="00386053" w:rsidRPr="008F7DC9" w:rsidRDefault="00386053" w:rsidP="00C81E2B">
            <w:pPr>
              <w:spacing w:before="60"/>
              <w:ind w:left="22" w:right="69"/>
              <w:jc w:val="right"/>
              <w:rPr>
                <w:b/>
                <w:bCs/>
                <w:highlight w:val="yellow"/>
              </w:rPr>
            </w:pPr>
            <w:r w:rsidRPr="008F7DC9">
              <w:rPr>
                <w:b/>
                <w:bCs/>
                <w:highlight w:val="yellow"/>
              </w:rPr>
              <w:t>-</w:t>
            </w:r>
          </w:p>
        </w:tc>
        <w:tc>
          <w:tcPr>
            <w:tcW w:w="2645" w:type="dxa"/>
          </w:tcPr>
          <w:p w14:paraId="6FB1F0D4" w14:textId="77777777" w:rsidR="00386053" w:rsidRPr="00BE4277" w:rsidRDefault="00386053" w:rsidP="00C81E2B">
            <w:pPr>
              <w:spacing w:before="60"/>
              <w:ind w:left="113" w:right="113"/>
              <w:rPr>
                <w:highlight w:val="yellow"/>
              </w:rPr>
            </w:pPr>
            <w:r w:rsidRPr="00BE4277">
              <w:rPr>
                <w:highlight w:val="yellow"/>
              </w:rPr>
              <w:t>Governance</w:t>
            </w:r>
          </w:p>
        </w:tc>
        <w:tc>
          <w:tcPr>
            <w:tcW w:w="7129" w:type="dxa"/>
          </w:tcPr>
          <w:p w14:paraId="1870E69C" w14:textId="77777777" w:rsidR="00386053" w:rsidRPr="00BE4277" w:rsidRDefault="00386053" w:rsidP="00C81E2B">
            <w:pPr>
              <w:spacing w:before="60"/>
              <w:ind w:left="113" w:right="113"/>
              <w:rPr>
                <w:highlight w:val="yellow"/>
              </w:rPr>
            </w:pPr>
            <w:r w:rsidRPr="00BE4277">
              <w:rPr>
                <w:highlight w:val="yellow"/>
              </w:rPr>
              <w:t xml:space="preserve">Business Case Management Services </w:t>
            </w:r>
          </w:p>
        </w:tc>
      </w:tr>
      <w:tr w:rsidR="00386053" w:rsidRPr="00AC47E8" w14:paraId="303202F7" w14:textId="77777777" w:rsidTr="00386053">
        <w:tc>
          <w:tcPr>
            <w:tcW w:w="846" w:type="dxa"/>
            <w:shd w:val="clear" w:color="auto" w:fill="E6E6E6"/>
          </w:tcPr>
          <w:p w14:paraId="78B4C529" w14:textId="77777777" w:rsidR="00386053" w:rsidRPr="008F7DC9" w:rsidRDefault="00386053" w:rsidP="00C81E2B">
            <w:pPr>
              <w:spacing w:before="60"/>
              <w:ind w:left="113" w:right="113"/>
              <w:jc w:val="right"/>
              <w:rPr>
                <w:b/>
                <w:bCs/>
                <w:highlight w:val="yellow"/>
              </w:rPr>
            </w:pPr>
            <w:r w:rsidRPr="008F7DC9">
              <w:rPr>
                <w:b/>
                <w:bCs/>
                <w:highlight w:val="yellow"/>
              </w:rPr>
              <w:t>2</w:t>
            </w:r>
          </w:p>
        </w:tc>
        <w:tc>
          <w:tcPr>
            <w:tcW w:w="2645" w:type="dxa"/>
          </w:tcPr>
          <w:p w14:paraId="49FCAE27" w14:textId="77777777" w:rsidR="00386053" w:rsidRPr="00BE4277" w:rsidRDefault="00386053" w:rsidP="00C81E2B">
            <w:pPr>
              <w:spacing w:before="60"/>
              <w:ind w:left="113" w:right="113"/>
              <w:rPr>
                <w:highlight w:val="yellow"/>
              </w:rPr>
            </w:pPr>
            <w:r w:rsidRPr="00BE4277">
              <w:rPr>
                <w:highlight w:val="yellow"/>
              </w:rPr>
              <w:t>Methodology</w:t>
            </w:r>
          </w:p>
        </w:tc>
        <w:tc>
          <w:tcPr>
            <w:tcW w:w="7129" w:type="dxa"/>
          </w:tcPr>
          <w:p w14:paraId="7DB1FC89" w14:textId="77777777" w:rsidR="00386053" w:rsidRPr="00BE4277" w:rsidRDefault="00386053" w:rsidP="00C81E2B">
            <w:pPr>
              <w:spacing w:before="60"/>
              <w:ind w:left="113" w:right="113"/>
              <w:rPr>
                <w:highlight w:val="yellow"/>
              </w:rPr>
            </w:pPr>
            <w:r w:rsidRPr="00BE4277">
              <w:rPr>
                <w:highlight w:val="yellow"/>
              </w:rPr>
              <w:t xml:space="preserve">Business Case Management Services </w:t>
            </w:r>
          </w:p>
        </w:tc>
      </w:tr>
      <w:tr w:rsidR="00386053" w:rsidRPr="00AC47E8" w14:paraId="1240D339" w14:textId="77777777" w:rsidTr="00386053">
        <w:tc>
          <w:tcPr>
            <w:tcW w:w="846" w:type="dxa"/>
            <w:shd w:val="clear" w:color="auto" w:fill="E6E6E6"/>
          </w:tcPr>
          <w:p w14:paraId="09A8867D" w14:textId="77777777" w:rsidR="00386053" w:rsidRPr="008F7DC9" w:rsidRDefault="00386053" w:rsidP="00C81E2B">
            <w:pPr>
              <w:spacing w:before="60"/>
              <w:ind w:left="113" w:right="113"/>
              <w:jc w:val="right"/>
              <w:rPr>
                <w:b/>
                <w:bCs/>
                <w:highlight w:val="yellow"/>
              </w:rPr>
            </w:pPr>
            <w:r w:rsidRPr="008F7DC9">
              <w:rPr>
                <w:b/>
                <w:bCs/>
                <w:highlight w:val="yellow"/>
              </w:rPr>
              <w:t>3</w:t>
            </w:r>
          </w:p>
        </w:tc>
        <w:tc>
          <w:tcPr>
            <w:tcW w:w="2645" w:type="dxa"/>
          </w:tcPr>
          <w:p w14:paraId="213C2B33" w14:textId="77777777" w:rsidR="00386053" w:rsidRPr="00BE4277" w:rsidRDefault="00386053" w:rsidP="00C81E2B">
            <w:pPr>
              <w:spacing w:before="60"/>
              <w:ind w:left="113" w:right="113"/>
              <w:rPr>
                <w:highlight w:val="yellow"/>
              </w:rPr>
            </w:pPr>
            <w:r w:rsidRPr="00BE4277">
              <w:rPr>
                <w:highlight w:val="yellow"/>
              </w:rPr>
              <w:t>Background</w:t>
            </w:r>
          </w:p>
        </w:tc>
        <w:tc>
          <w:tcPr>
            <w:tcW w:w="7129" w:type="dxa"/>
          </w:tcPr>
          <w:p w14:paraId="1C520970" w14:textId="77777777" w:rsidR="00386053" w:rsidRPr="00BE4277" w:rsidRDefault="00386053" w:rsidP="00C81E2B">
            <w:pPr>
              <w:spacing w:before="60"/>
              <w:ind w:left="113" w:right="113"/>
              <w:rPr>
                <w:highlight w:val="yellow"/>
              </w:rPr>
            </w:pPr>
            <w:r w:rsidRPr="00BE4277">
              <w:rPr>
                <w:highlight w:val="yellow"/>
              </w:rPr>
              <w:t xml:space="preserve">Business Case Management Services </w:t>
            </w:r>
          </w:p>
        </w:tc>
      </w:tr>
      <w:tr w:rsidR="00386053" w:rsidRPr="00AC47E8" w14:paraId="7C94A7E9" w14:textId="77777777" w:rsidTr="00386053">
        <w:tc>
          <w:tcPr>
            <w:tcW w:w="846" w:type="dxa"/>
            <w:shd w:val="clear" w:color="auto" w:fill="E6E6E6"/>
          </w:tcPr>
          <w:p w14:paraId="5BF3FAC3" w14:textId="77777777" w:rsidR="00386053" w:rsidRPr="008F7DC9" w:rsidRDefault="00386053" w:rsidP="00C81E2B">
            <w:pPr>
              <w:spacing w:before="60"/>
              <w:ind w:left="113" w:right="113"/>
              <w:jc w:val="right"/>
              <w:rPr>
                <w:b/>
                <w:bCs/>
                <w:highlight w:val="yellow"/>
              </w:rPr>
            </w:pPr>
            <w:r w:rsidRPr="008F7DC9">
              <w:rPr>
                <w:b/>
                <w:bCs/>
                <w:highlight w:val="yellow"/>
              </w:rPr>
              <w:t>4</w:t>
            </w:r>
          </w:p>
        </w:tc>
        <w:tc>
          <w:tcPr>
            <w:tcW w:w="2645" w:type="dxa"/>
          </w:tcPr>
          <w:p w14:paraId="39E7E880" w14:textId="77777777" w:rsidR="00386053" w:rsidRPr="00BE4277" w:rsidRDefault="00386053" w:rsidP="00C81E2B">
            <w:pPr>
              <w:spacing w:before="60"/>
              <w:ind w:left="113" w:right="113"/>
              <w:rPr>
                <w:highlight w:val="yellow"/>
              </w:rPr>
            </w:pPr>
            <w:r w:rsidRPr="00BE4277">
              <w:rPr>
                <w:highlight w:val="yellow"/>
              </w:rPr>
              <w:t>Service Need</w:t>
            </w:r>
          </w:p>
        </w:tc>
        <w:tc>
          <w:tcPr>
            <w:tcW w:w="7129" w:type="dxa"/>
          </w:tcPr>
          <w:p w14:paraId="10CF524A" w14:textId="77777777" w:rsidR="00386053" w:rsidRPr="00BE4277" w:rsidRDefault="00386053" w:rsidP="00C81E2B">
            <w:pPr>
              <w:spacing w:before="60"/>
              <w:ind w:left="113" w:right="113"/>
              <w:rPr>
                <w:highlight w:val="yellow"/>
              </w:rPr>
            </w:pPr>
            <w:r w:rsidRPr="00BE4277">
              <w:rPr>
                <w:highlight w:val="yellow"/>
              </w:rPr>
              <w:t xml:space="preserve">Business Case Management Services </w:t>
            </w:r>
          </w:p>
        </w:tc>
      </w:tr>
      <w:tr w:rsidR="00386053" w:rsidRPr="00AC47E8" w14:paraId="27174EE1" w14:textId="77777777" w:rsidTr="00386053">
        <w:tc>
          <w:tcPr>
            <w:tcW w:w="846" w:type="dxa"/>
            <w:shd w:val="clear" w:color="auto" w:fill="E6E6E6"/>
          </w:tcPr>
          <w:p w14:paraId="6DFA9D56" w14:textId="77777777" w:rsidR="00386053" w:rsidRPr="008F7DC9" w:rsidRDefault="00386053" w:rsidP="00C81E2B">
            <w:pPr>
              <w:spacing w:before="60"/>
              <w:ind w:left="113" w:right="113"/>
              <w:jc w:val="right"/>
              <w:rPr>
                <w:b/>
                <w:bCs/>
                <w:highlight w:val="yellow"/>
              </w:rPr>
            </w:pPr>
            <w:r w:rsidRPr="008F7DC9">
              <w:rPr>
                <w:b/>
                <w:bCs/>
                <w:highlight w:val="yellow"/>
              </w:rPr>
              <w:t>5</w:t>
            </w:r>
          </w:p>
        </w:tc>
        <w:tc>
          <w:tcPr>
            <w:tcW w:w="2645" w:type="dxa"/>
          </w:tcPr>
          <w:p w14:paraId="4272EAA5" w14:textId="77777777" w:rsidR="00386053" w:rsidRPr="00BE4277" w:rsidRDefault="00386053" w:rsidP="00C81E2B">
            <w:pPr>
              <w:spacing w:before="60"/>
              <w:ind w:left="113" w:right="113"/>
              <w:rPr>
                <w:highlight w:val="yellow"/>
              </w:rPr>
            </w:pPr>
            <w:r w:rsidRPr="00BE4277">
              <w:rPr>
                <w:highlight w:val="yellow"/>
              </w:rPr>
              <w:t>Base Case</w:t>
            </w:r>
          </w:p>
        </w:tc>
        <w:tc>
          <w:tcPr>
            <w:tcW w:w="7129" w:type="dxa"/>
          </w:tcPr>
          <w:p w14:paraId="4DA0A644" w14:textId="77777777" w:rsidR="00386053" w:rsidRPr="00BE4277" w:rsidRDefault="00386053" w:rsidP="00C81E2B">
            <w:pPr>
              <w:spacing w:before="60"/>
              <w:ind w:left="113" w:right="113"/>
              <w:rPr>
                <w:highlight w:val="yellow"/>
              </w:rPr>
            </w:pPr>
            <w:r w:rsidRPr="00BE4277">
              <w:rPr>
                <w:highlight w:val="yellow"/>
              </w:rPr>
              <w:t xml:space="preserve">Business Case Management Services </w:t>
            </w:r>
          </w:p>
        </w:tc>
      </w:tr>
      <w:tr w:rsidR="00386053" w:rsidRPr="00AC47E8" w14:paraId="76D6FEA6" w14:textId="77777777" w:rsidTr="00386053">
        <w:tc>
          <w:tcPr>
            <w:tcW w:w="846" w:type="dxa"/>
            <w:shd w:val="clear" w:color="auto" w:fill="E6E6E6"/>
          </w:tcPr>
          <w:p w14:paraId="4439CEDA" w14:textId="77777777" w:rsidR="00386053" w:rsidRPr="008F7DC9" w:rsidRDefault="00386053" w:rsidP="00C81E2B">
            <w:pPr>
              <w:spacing w:before="60"/>
              <w:ind w:left="113" w:right="113"/>
              <w:jc w:val="right"/>
              <w:rPr>
                <w:b/>
                <w:bCs/>
                <w:highlight w:val="yellow"/>
              </w:rPr>
            </w:pPr>
            <w:r w:rsidRPr="008F7DC9">
              <w:rPr>
                <w:b/>
                <w:bCs/>
                <w:highlight w:val="yellow"/>
              </w:rPr>
              <w:t>6</w:t>
            </w:r>
          </w:p>
        </w:tc>
        <w:tc>
          <w:tcPr>
            <w:tcW w:w="2645" w:type="dxa"/>
          </w:tcPr>
          <w:p w14:paraId="78C1551D" w14:textId="77777777" w:rsidR="00386053" w:rsidRPr="00BE4277" w:rsidRDefault="00386053" w:rsidP="00C81E2B">
            <w:pPr>
              <w:spacing w:before="60"/>
              <w:ind w:left="113" w:right="113"/>
              <w:rPr>
                <w:highlight w:val="yellow"/>
              </w:rPr>
            </w:pPr>
            <w:r w:rsidRPr="00BE4277">
              <w:rPr>
                <w:highlight w:val="yellow"/>
              </w:rPr>
              <w:t>Options, Site Analysis and Masterplan</w:t>
            </w:r>
          </w:p>
        </w:tc>
        <w:tc>
          <w:tcPr>
            <w:tcW w:w="7129" w:type="dxa"/>
          </w:tcPr>
          <w:p w14:paraId="2BEB2429" w14:textId="77777777" w:rsidR="00386053" w:rsidRPr="00BE4277" w:rsidRDefault="00386053" w:rsidP="00C81E2B">
            <w:pPr>
              <w:spacing w:before="60"/>
              <w:ind w:left="113" w:right="113"/>
              <w:rPr>
                <w:highlight w:val="yellow"/>
              </w:rPr>
            </w:pPr>
            <w:r w:rsidRPr="00BE4277">
              <w:rPr>
                <w:highlight w:val="yellow"/>
              </w:rPr>
              <w:t xml:space="preserve">Business Case Management Services </w:t>
            </w:r>
          </w:p>
        </w:tc>
      </w:tr>
      <w:tr w:rsidR="00386053" w:rsidRPr="00AC47E8" w14:paraId="701F9B12" w14:textId="77777777" w:rsidTr="00386053">
        <w:tc>
          <w:tcPr>
            <w:tcW w:w="846" w:type="dxa"/>
            <w:shd w:val="clear" w:color="auto" w:fill="E6E6E6"/>
          </w:tcPr>
          <w:p w14:paraId="30F42AA1" w14:textId="77777777" w:rsidR="00386053" w:rsidRPr="008F7DC9" w:rsidRDefault="00386053" w:rsidP="00C81E2B">
            <w:pPr>
              <w:spacing w:before="60"/>
              <w:ind w:left="113" w:right="113"/>
              <w:jc w:val="right"/>
              <w:rPr>
                <w:b/>
                <w:bCs/>
                <w:highlight w:val="yellow"/>
              </w:rPr>
            </w:pPr>
            <w:r w:rsidRPr="008F7DC9">
              <w:rPr>
                <w:b/>
                <w:bCs/>
                <w:highlight w:val="yellow"/>
              </w:rPr>
              <w:t>7</w:t>
            </w:r>
          </w:p>
        </w:tc>
        <w:tc>
          <w:tcPr>
            <w:tcW w:w="2645" w:type="dxa"/>
          </w:tcPr>
          <w:p w14:paraId="221433F0" w14:textId="77777777" w:rsidR="00386053" w:rsidRPr="00BE4277" w:rsidRDefault="00386053" w:rsidP="00C81E2B">
            <w:pPr>
              <w:spacing w:before="60"/>
              <w:ind w:left="113" w:right="113"/>
              <w:rPr>
                <w:highlight w:val="yellow"/>
              </w:rPr>
            </w:pPr>
            <w:r w:rsidRPr="00BE4277">
              <w:rPr>
                <w:highlight w:val="yellow"/>
              </w:rPr>
              <w:t>Reference Project</w:t>
            </w:r>
          </w:p>
        </w:tc>
        <w:tc>
          <w:tcPr>
            <w:tcW w:w="7129" w:type="dxa"/>
          </w:tcPr>
          <w:p w14:paraId="7C1942AB" w14:textId="77777777" w:rsidR="00386053" w:rsidRPr="00BE4277" w:rsidRDefault="00386053" w:rsidP="00C81E2B">
            <w:pPr>
              <w:spacing w:before="60"/>
              <w:ind w:left="113" w:right="113"/>
              <w:rPr>
                <w:b/>
                <w:bCs/>
                <w:highlight w:val="yellow"/>
              </w:rPr>
            </w:pPr>
            <w:r w:rsidRPr="00BE4277">
              <w:rPr>
                <w:highlight w:val="yellow"/>
              </w:rPr>
              <w:t>Technical advisor</w:t>
            </w:r>
          </w:p>
        </w:tc>
      </w:tr>
      <w:tr w:rsidR="00386053" w:rsidRPr="00AC47E8" w14:paraId="50F3D53E" w14:textId="77777777" w:rsidTr="00386053">
        <w:tc>
          <w:tcPr>
            <w:tcW w:w="846" w:type="dxa"/>
            <w:shd w:val="clear" w:color="auto" w:fill="E6E6E6"/>
          </w:tcPr>
          <w:p w14:paraId="078CF29C" w14:textId="77777777" w:rsidR="00386053" w:rsidRPr="008F7DC9" w:rsidRDefault="00386053" w:rsidP="00C81E2B">
            <w:pPr>
              <w:spacing w:before="60"/>
              <w:ind w:left="113" w:right="113"/>
              <w:jc w:val="right"/>
              <w:rPr>
                <w:b/>
                <w:bCs/>
                <w:highlight w:val="yellow"/>
              </w:rPr>
            </w:pPr>
            <w:r w:rsidRPr="008F7DC9">
              <w:rPr>
                <w:b/>
                <w:bCs/>
                <w:highlight w:val="yellow"/>
              </w:rPr>
              <w:t>8</w:t>
            </w:r>
          </w:p>
        </w:tc>
        <w:tc>
          <w:tcPr>
            <w:tcW w:w="2645" w:type="dxa"/>
          </w:tcPr>
          <w:p w14:paraId="454401E5" w14:textId="77777777" w:rsidR="00386053" w:rsidRPr="00BE4277" w:rsidRDefault="00386053" w:rsidP="00C81E2B">
            <w:pPr>
              <w:spacing w:before="60"/>
              <w:ind w:left="113" w:right="113"/>
              <w:rPr>
                <w:highlight w:val="yellow"/>
              </w:rPr>
            </w:pPr>
            <w:r w:rsidRPr="00BE4277">
              <w:rPr>
                <w:highlight w:val="yellow"/>
              </w:rPr>
              <w:t>Information and Communications Technology</w:t>
            </w:r>
          </w:p>
        </w:tc>
        <w:tc>
          <w:tcPr>
            <w:tcW w:w="7129" w:type="dxa"/>
          </w:tcPr>
          <w:p w14:paraId="5D098302" w14:textId="77777777" w:rsidR="00386053" w:rsidRPr="00BE4277" w:rsidRDefault="00386053" w:rsidP="00C81E2B">
            <w:pPr>
              <w:spacing w:before="60"/>
              <w:ind w:left="113" w:right="113"/>
              <w:rPr>
                <w:highlight w:val="yellow"/>
              </w:rPr>
            </w:pPr>
            <w:r w:rsidRPr="00BE4277">
              <w:rPr>
                <w:highlight w:val="yellow"/>
              </w:rPr>
              <w:t>Technical advisor</w:t>
            </w:r>
          </w:p>
        </w:tc>
      </w:tr>
      <w:tr w:rsidR="00386053" w:rsidRPr="00AC47E8" w14:paraId="09C141AF" w14:textId="77777777" w:rsidTr="00386053">
        <w:tc>
          <w:tcPr>
            <w:tcW w:w="846" w:type="dxa"/>
            <w:shd w:val="clear" w:color="auto" w:fill="E6E6E6"/>
          </w:tcPr>
          <w:p w14:paraId="35488C7B" w14:textId="77777777" w:rsidR="00386053" w:rsidRPr="008F7DC9" w:rsidRDefault="00386053" w:rsidP="00C81E2B">
            <w:pPr>
              <w:spacing w:before="60"/>
              <w:ind w:left="113" w:right="113"/>
              <w:jc w:val="right"/>
              <w:rPr>
                <w:b/>
                <w:bCs/>
                <w:highlight w:val="yellow"/>
              </w:rPr>
            </w:pPr>
            <w:r w:rsidRPr="008F7DC9">
              <w:rPr>
                <w:b/>
                <w:bCs/>
                <w:highlight w:val="yellow"/>
              </w:rPr>
              <w:t>9</w:t>
            </w:r>
          </w:p>
        </w:tc>
        <w:tc>
          <w:tcPr>
            <w:tcW w:w="2645" w:type="dxa"/>
          </w:tcPr>
          <w:p w14:paraId="3B42262C" w14:textId="77777777" w:rsidR="00386053" w:rsidRPr="00BE4277" w:rsidRDefault="00386053" w:rsidP="00C81E2B">
            <w:pPr>
              <w:spacing w:before="60"/>
              <w:ind w:left="113" w:right="113"/>
              <w:rPr>
                <w:highlight w:val="yellow"/>
              </w:rPr>
            </w:pPr>
            <w:r w:rsidRPr="00BE4277">
              <w:rPr>
                <w:highlight w:val="yellow"/>
              </w:rPr>
              <w:t>Strategic Consideration</w:t>
            </w:r>
          </w:p>
        </w:tc>
        <w:tc>
          <w:tcPr>
            <w:tcW w:w="7129" w:type="dxa"/>
          </w:tcPr>
          <w:p w14:paraId="73BF3781" w14:textId="77777777" w:rsidR="00386053" w:rsidRPr="00BE4277" w:rsidRDefault="00386053" w:rsidP="00C81E2B">
            <w:pPr>
              <w:spacing w:before="60"/>
              <w:ind w:left="113" w:right="113"/>
              <w:rPr>
                <w:highlight w:val="yellow"/>
              </w:rPr>
            </w:pPr>
            <w:r w:rsidRPr="00BE4277">
              <w:rPr>
                <w:highlight w:val="yellow"/>
              </w:rPr>
              <w:t>Technical advisor</w:t>
            </w:r>
          </w:p>
        </w:tc>
      </w:tr>
      <w:tr w:rsidR="00386053" w:rsidRPr="00AC47E8" w14:paraId="0BA84CF0" w14:textId="77777777" w:rsidTr="00386053">
        <w:tc>
          <w:tcPr>
            <w:tcW w:w="846" w:type="dxa"/>
            <w:shd w:val="clear" w:color="auto" w:fill="E6E6E6"/>
          </w:tcPr>
          <w:p w14:paraId="560186C1" w14:textId="77777777" w:rsidR="00386053" w:rsidRPr="008F7DC9" w:rsidRDefault="00386053" w:rsidP="00C81E2B">
            <w:pPr>
              <w:spacing w:before="60"/>
              <w:ind w:left="113" w:right="113"/>
              <w:jc w:val="right"/>
              <w:rPr>
                <w:b/>
                <w:bCs/>
                <w:highlight w:val="yellow"/>
              </w:rPr>
            </w:pPr>
            <w:r w:rsidRPr="008F7DC9">
              <w:rPr>
                <w:b/>
                <w:bCs/>
                <w:highlight w:val="yellow"/>
              </w:rPr>
              <w:t>10</w:t>
            </w:r>
          </w:p>
        </w:tc>
        <w:tc>
          <w:tcPr>
            <w:tcW w:w="2645" w:type="dxa"/>
          </w:tcPr>
          <w:p w14:paraId="139B6C16" w14:textId="77777777" w:rsidR="00386053" w:rsidRPr="00BE4277" w:rsidRDefault="00386053" w:rsidP="00C81E2B">
            <w:pPr>
              <w:spacing w:before="60"/>
              <w:ind w:left="113" w:right="113"/>
              <w:rPr>
                <w:highlight w:val="yellow"/>
              </w:rPr>
            </w:pPr>
            <w:r w:rsidRPr="00BE4277">
              <w:rPr>
                <w:highlight w:val="yellow"/>
              </w:rPr>
              <w:t>Legal &amp; Regulatory</w:t>
            </w:r>
          </w:p>
        </w:tc>
        <w:tc>
          <w:tcPr>
            <w:tcW w:w="7129" w:type="dxa"/>
          </w:tcPr>
          <w:p w14:paraId="4C8E56E4" w14:textId="77777777" w:rsidR="00386053" w:rsidRPr="00BE4277" w:rsidRDefault="00386053" w:rsidP="00C81E2B">
            <w:pPr>
              <w:spacing w:before="60"/>
              <w:ind w:left="113" w:right="113"/>
              <w:rPr>
                <w:highlight w:val="yellow"/>
              </w:rPr>
            </w:pPr>
            <w:r w:rsidRPr="00BE4277">
              <w:rPr>
                <w:highlight w:val="yellow"/>
              </w:rPr>
              <w:t xml:space="preserve">Business Case Management Services </w:t>
            </w:r>
          </w:p>
        </w:tc>
      </w:tr>
      <w:tr w:rsidR="00386053" w:rsidRPr="00AC47E8" w14:paraId="1678CADC" w14:textId="77777777" w:rsidTr="00386053">
        <w:tc>
          <w:tcPr>
            <w:tcW w:w="846" w:type="dxa"/>
            <w:shd w:val="clear" w:color="auto" w:fill="E6E6E6"/>
          </w:tcPr>
          <w:p w14:paraId="529C3A13" w14:textId="77777777" w:rsidR="00386053" w:rsidRPr="008F7DC9" w:rsidRDefault="00386053" w:rsidP="00C81E2B">
            <w:pPr>
              <w:spacing w:before="60"/>
              <w:ind w:left="113" w:right="113"/>
              <w:jc w:val="right"/>
              <w:rPr>
                <w:b/>
                <w:bCs/>
                <w:highlight w:val="yellow"/>
              </w:rPr>
            </w:pPr>
            <w:r w:rsidRPr="008F7DC9">
              <w:rPr>
                <w:b/>
                <w:bCs/>
                <w:highlight w:val="yellow"/>
              </w:rPr>
              <w:t>11</w:t>
            </w:r>
          </w:p>
        </w:tc>
        <w:tc>
          <w:tcPr>
            <w:tcW w:w="2645" w:type="dxa"/>
          </w:tcPr>
          <w:p w14:paraId="4E6CCF28" w14:textId="77777777" w:rsidR="00386053" w:rsidRPr="00BE4277" w:rsidRDefault="00386053" w:rsidP="00C81E2B">
            <w:pPr>
              <w:spacing w:before="60"/>
              <w:ind w:left="113" w:right="113"/>
              <w:rPr>
                <w:highlight w:val="yellow"/>
              </w:rPr>
            </w:pPr>
            <w:r w:rsidRPr="00BE4277">
              <w:rPr>
                <w:highlight w:val="yellow"/>
              </w:rPr>
              <w:t>Market Considerations</w:t>
            </w:r>
          </w:p>
        </w:tc>
        <w:tc>
          <w:tcPr>
            <w:tcW w:w="7129" w:type="dxa"/>
          </w:tcPr>
          <w:p w14:paraId="3F540CB8" w14:textId="77777777" w:rsidR="00386053" w:rsidRPr="00BE4277" w:rsidRDefault="00386053" w:rsidP="00C81E2B">
            <w:pPr>
              <w:spacing w:before="60"/>
              <w:ind w:left="113" w:right="113"/>
              <w:rPr>
                <w:highlight w:val="yellow"/>
              </w:rPr>
            </w:pPr>
            <w:r w:rsidRPr="00BE4277">
              <w:rPr>
                <w:highlight w:val="yellow"/>
              </w:rPr>
              <w:t>Legal advisor</w:t>
            </w:r>
          </w:p>
        </w:tc>
      </w:tr>
      <w:tr w:rsidR="00386053" w:rsidRPr="00AC47E8" w14:paraId="2746F446" w14:textId="77777777" w:rsidTr="00386053">
        <w:tc>
          <w:tcPr>
            <w:tcW w:w="846" w:type="dxa"/>
            <w:shd w:val="clear" w:color="auto" w:fill="E6E6E6"/>
          </w:tcPr>
          <w:p w14:paraId="330B0F7F" w14:textId="77777777" w:rsidR="00386053" w:rsidRPr="008F7DC9" w:rsidRDefault="00386053" w:rsidP="00C81E2B">
            <w:pPr>
              <w:spacing w:before="60"/>
              <w:ind w:left="113" w:right="113"/>
              <w:jc w:val="right"/>
              <w:rPr>
                <w:b/>
                <w:bCs/>
                <w:highlight w:val="yellow"/>
              </w:rPr>
            </w:pPr>
            <w:r w:rsidRPr="008F7DC9">
              <w:rPr>
                <w:b/>
                <w:bCs/>
                <w:highlight w:val="yellow"/>
              </w:rPr>
              <w:t>12</w:t>
            </w:r>
          </w:p>
        </w:tc>
        <w:tc>
          <w:tcPr>
            <w:tcW w:w="2645" w:type="dxa"/>
          </w:tcPr>
          <w:p w14:paraId="4A5E501B" w14:textId="77777777" w:rsidR="00386053" w:rsidRPr="00BE4277" w:rsidRDefault="00386053" w:rsidP="00C81E2B">
            <w:pPr>
              <w:spacing w:before="60"/>
              <w:ind w:left="113" w:right="113"/>
              <w:rPr>
                <w:highlight w:val="yellow"/>
              </w:rPr>
            </w:pPr>
            <w:r w:rsidRPr="00BE4277">
              <w:rPr>
                <w:highlight w:val="yellow"/>
              </w:rPr>
              <w:t>Public Interest</w:t>
            </w:r>
          </w:p>
        </w:tc>
        <w:tc>
          <w:tcPr>
            <w:tcW w:w="7129" w:type="dxa"/>
          </w:tcPr>
          <w:p w14:paraId="1F33F4E7" w14:textId="77777777" w:rsidR="00386053" w:rsidRPr="00BE4277" w:rsidRDefault="00386053" w:rsidP="00C81E2B">
            <w:pPr>
              <w:spacing w:before="60"/>
              <w:ind w:left="113" w:right="113"/>
              <w:rPr>
                <w:highlight w:val="yellow"/>
              </w:rPr>
            </w:pPr>
            <w:r w:rsidRPr="00BE4277">
              <w:rPr>
                <w:highlight w:val="yellow"/>
              </w:rPr>
              <w:t>Financial advisor</w:t>
            </w:r>
          </w:p>
        </w:tc>
      </w:tr>
      <w:tr w:rsidR="00386053" w:rsidRPr="00AC47E8" w14:paraId="31B1AA9F" w14:textId="77777777" w:rsidTr="00386053">
        <w:tc>
          <w:tcPr>
            <w:tcW w:w="846" w:type="dxa"/>
            <w:shd w:val="clear" w:color="auto" w:fill="E6E6E6"/>
          </w:tcPr>
          <w:p w14:paraId="6815D74D" w14:textId="77777777" w:rsidR="00386053" w:rsidRPr="008F7DC9" w:rsidRDefault="00386053" w:rsidP="00C81E2B">
            <w:pPr>
              <w:spacing w:before="60"/>
              <w:ind w:left="113" w:right="113"/>
              <w:jc w:val="right"/>
              <w:rPr>
                <w:b/>
                <w:bCs/>
                <w:highlight w:val="yellow"/>
              </w:rPr>
            </w:pPr>
            <w:r w:rsidRPr="008F7DC9">
              <w:rPr>
                <w:b/>
                <w:bCs/>
                <w:highlight w:val="yellow"/>
              </w:rPr>
              <w:t>13</w:t>
            </w:r>
          </w:p>
        </w:tc>
        <w:tc>
          <w:tcPr>
            <w:tcW w:w="2645" w:type="dxa"/>
          </w:tcPr>
          <w:p w14:paraId="28F195D1" w14:textId="77777777" w:rsidR="00386053" w:rsidRPr="00BE4277" w:rsidRDefault="00386053" w:rsidP="00C81E2B">
            <w:pPr>
              <w:spacing w:before="60"/>
              <w:ind w:left="113" w:right="113"/>
              <w:rPr>
                <w:highlight w:val="yellow"/>
              </w:rPr>
            </w:pPr>
            <w:r w:rsidRPr="00BE4277">
              <w:rPr>
                <w:highlight w:val="yellow"/>
              </w:rPr>
              <w:t>Sustainability</w:t>
            </w:r>
          </w:p>
        </w:tc>
        <w:tc>
          <w:tcPr>
            <w:tcW w:w="7129" w:type="dxa"/>
          </w:tcPr>
          <w:p w14:paraId="570D3B88" w14:textId="77777777" w:rsidR="00386053" w:rsidRPr="00BE4277" w:rsidRDefault="00386053" w:rsidP="00C81E2B">
            <w:pPr>
              <w:spacing w:before="60"/>
              <w:ind w:left="113" w:right="113"/>
              <w:rPr>
                <w:highlight w:val="yellow"/>
              </w:rPr>
            </w:pPr>
            <w:r w:rsidRPr="00BE4277">
              <w:rPr>
                <w:highlight w:val="yellow"/>
              </w:rPr>
              <w:t>Social Impact advisor</w:t>
            </w:r>
          </w:p>
        </w:tc>
      </w:tr>
      <w:tr w:rsidR="00386053" w:rsidRPr="00AC47E8" w14:paraId="1E63DA0E" w14:textId="77777777" w:rsidTr="00386053">
        <w:tc>
          <w:tcPr>
            <w:tcW w:w="846" w:type="dxa"/>
            <w:shd w:val="clear" w:color="auto" w:fill="E6E6E6"/>
          </w:tcPr>
          <w:p w14:paraId="07EB63EA" w14:textId="77777777" w:rsidR="00386053" w:rsidRPr="008F7DC9" w:rsidRDefault="00386053" w:rsidP="00C81E2B">
            <w:pPr>
              <w:spacing w:before="60"/>
              <w:ind w:left="113" w:right="113"/>
              <w:jc w:val="right"/>
              <w:rPr>
                <w:b/>
                <w:bCs/>
                <w:highlight w:val="yellow"/>
              </w:rPr>
            </w:pPr>
            <w:r w:rsidRPr="008F7DC9">
              <w:rPr>
                <w:b/>
                <w:bCs/>
                <w:highlight w:val="yellow"/>
              </w:rPr>
              <w:t>14</w:t>
            </w:r>
          </w:p>
        </w:tc>
        <w:tc>
          <w:tcPr>
            <w:tcW w:w="2645" w:type="dxa"/>
          </w:tcPr>
          <w:p w14:paraId="6C64CCCA" w14:textId="77777777" w:rsidR="00386053" w:rsidRPr="00BE4277" w:rsidRDefault="00386053" w:rsidP="00C81E2B">
            <w:pPr>
              <w:spacing w:before="60"/>
              <w:ind w:left="113" w:right="113"/>
              <w:rPr>
                <w:highlight w:val="yellow"/>
              </w:rPr>
            </w:pPr>
            <w:r w:rsidRPr="00BE4277">
              <w:rPr>
                <w:highlight w:val="yellow"/>
              </w:rPr>
              <w:t>Social Impact Evaluation</w:t>
            </w:r>
          </w:p>
        </w:tc>
        <w:tc>
          <w:tcPr>
            <w:tcW w:w="7129" w:type="dxa"/>
          </w:tcPr>
          <w:p w14:paraId="721157D7" w14:textId="77777777" w:rsidR="00386053" w:rsidRPr="00BE4277" w:rsidRDefault="00386053" w:rsidP="00C81E2B">
            <w:pPr>
              <w:spacing w:before="60"/>
              <w:ind w:left="113" w:right="113"/>
              <w:rPr>
                <w:b/>
                <w:bCs/>
                <w:highlight w:val="yellow"/>
              </w:rPr>
            </w:pPr>
            <w:r w:rsidRPr="00BE4277">
              <w:rPr>
                <w:highlight w:val="yellow"/>
              </w:rPr>
              <w:t>Social Impact advisor</w:t>
            </w:r>
          </w:p>
        </w:tc>
      </w:tr>
      <w:tr w:rsidR="00386053" w:rsidRPr="00AC47E8" w14:paraId="6B10A29B" w14:textId="77777777" w:rsidTr="00386053">
        <w:tc>
          <w:tcPr>
            <w:tcW w:w="846" w:type="dxa"/>
            <w:shd w:val="clear" w:color="auto" w:fill="E6E6E6"/>
          </w:tcPr>
          <w:p w14:paraId="77B103CE" w14:textId="77777777" w:rsidR="00386053" w:rsidRPr="008F7DC9" w:rsidRDefault="00386053" w:rsidP="00C81E2B">
            <w:pPr>
              <w:spacing w:before="60"/>
              <w:ind w:left="113" w:right="113"/>
              <w:jc w:val="right"/>
              <w:rPr>
                <w:b/>
                <w:bCs/>
                <w:highlight w:val="yellow"/>
              </w:rPr>
            </w:pPr>
            <w:r w:rsidRPr="008F7DC9">
              <w:rPr>
                <w:b/>
                <w:bCs/>
                <w:highlight w:val="yellow"/>
              </w:rPr>
              <w:t>15</w:t>
            </w:r>
          </w:p>
        </w:tc>
        <w:tc>
          <w:tcPr>
            <w:tcW w:w="2645" w:type="dxa"/>
          </w:tcPr>
          <w:p w14:paraId="5CEBE2EE" w14:textId="77777777" w:rsidR="00386053" w:rsidRPr="00BE4277" w:rsidRDefault="00386053" w:rsidP="00C81E2B">
            <w:pPr>
              <w:spacing w:before="60"/>
              <w:ind w:left="113" w:right="113"/>
              <w:rPr>
                <w:highlight w:val="yellow"/>
              </w:rPr>
            </w:pPr>
            <w:r w:rsidRPr="00BE4277">
              <w:rPr>
                <w:highlight w:val="yellow"/>
              </w:rPr>
              <w:t>Environmental Assessment</w:t>
            </w:r>
          </w:p>
        </w:tc>
        <w:tc>
          <w:tcPr>
            <w:tcW w:w="7129" w:type="dxa"/>
          </w:tcPr>
          <w:p w14:paraId="606DB048" w14:textId="77777777" w:rsidR="00386053" w:rsidRPr="00BE4277" w:rsidRDefault="00386053" w:rsidP="00C81E2B">
            <w:pPr>
              <w:spacing w:before="60"/>
              <w:ind w:left="113" w:right="113"/>
              <w:rPr>
                <w:highlight w:val="yellow"/>
              </w:rPr>
            </w:pPr>
            <w:r w:rsidRPr="00BE4277">
              <w:rPr>
                <w:highlight w:val="yellow"/>
              </w:rPr>
              <w:t>Social Impact advisor</w:t>
            </w:r>
          </w:p>
        </w:tc>
      </w:tr>
      <w:tr w:rsidR="00386053" w:rsidRPr="00AC47E8" w14:paraId="1696119A" w14:textId="77777777" w:rsidTr="00386053">
        <w:tc>
          <w:tcPr>
            <w:tcW w:w="846" w:type="dxa"/>
            <w:shd w:val="clear" w:color="auto" w:fill="E6E6E6"/>
          </w:tcPr>
          <w:p w14:paraId="783AF616" w14:textId="77777777" w:rsidR="00386053" w:rsidRPr="008F7DC9" w:rsidRDefault="00386053" w:rsidP="00C81E2B">
            <w:pPr>
              <w:spacing w:before="60"/>
              <w:ind w:left="113" w:right="113"/>
              <w:jc w:val="right"/>
              <w:rPr>
                <w:b/>
                <w:bCs/>
                <w:highlight w:val="yellow"/>
              </w:rPr>
            </w:pPr>
            <w:r w:rsidRPr="008F7DC9">
              <w:rPr>
                <w:b/>
                <w:bCs/>
                <w:highlight w:val="yellow"/>
              </w:rPr>
              <w:t>16</w:t>
            </w:r>
          </w:p>
        </w:tc>
        <w:tc>
          <w:tcPr>
            <w:tcW w:w="2645" w:type="dxa"/>
          </w:tcPr>
          <w:p w14:paraId="08FFABD9" w14:textId="77777777" w:rsidR="00386053" w:rsidRPr="00BE4277" w:rsidRDefault="00386053" w:rsidP="00C81E2B">
            <w:pPr>
              <w:spacing w:before="60"/>
              <w:ind w:left="113" w:right="113"/>
              <w:rPr>
                <w:highlight w:val="yellow"/>
              </w:rPr>
            </w:pPr>
            <w:r w:rsidRPr="00BE4277">
              <w:rPr>
                <w:highlight w:val="yellow"/>
              </w:rPr>
              <w:t>Economic Analysis</w:t>
            </w:r>
          </w:p>
        </w:tc>
        <w:tc>
          <w:tcPr>
            <w:tcW w:w="7129" w:type="dxa"/>
          </w:tcPr>
          <w:p w14:paraId="53704F11" w14:textId="77777777" w:rsidR="00386053" w:rsidRPr="00BE4277" w:rsidRDefault="00386053" w:rsidP="00C81E2B">
            <w:pPr>
              <w:spacing w:before="60"/>
              <w:ind w:left="113" w:right="113"/>
              <w:rPr>
                <w:highlight w:val="yellow"/>
              </w:rPr>
            </w:pPr>
            <w:r w:rsidRPr="00BE4277">
              <w:rPr>
                <w:highlight w:val="yellow"/>
              </w:rPr>
              <w:t>Technical advisor</w:t>
            </w:r>
          </w:p>
        </w:tc>
      </w:tr>
      <w:tr w:rsidR="00386053" w:rsidRPr="00AC47E8" w14:paraId="673C0D81" w14:textId="77777777" w:rsidTr="00386053">
        <w:tc>
          <w:tcPr>
            <w:tcW w:w="846" w:type="dxa"/>
            <w:shd w:val="clear" w:color="auto" w:fill="E6E6E6"/>
          </w:tcPr>
          <w:p w14:paraId="162DECEE" w14:textId="77777777" w:rsidR="00386053" w:rsidRPr="008F7DC9" w:rsidRDefault="00386053" w:rsidP="00C81E2B">
            <w:pPr>
              <w:spacing w:before="60"/>
              <w:ind w:left="113" w:right="113"/>
              <w:jc w:val="right"/>
              <w:rPr>
                <w:b/>
                <w:bCs/>
                <w:highlight w:val="yellow"/>
              </w:rPr>
            </w:pPr>
            <w:r w:rsidRPr="008F7DC9">
              <w:rPr>
                <w:b/>
                <w:bCs/>
                <w:highlight w:val="yellow"/>
              </w:rPr>
              <w:t>17</w:t>
            </w:r>
          </w:p>
        </w:tc>
        <w:tc>
          <w:tcPr>
            <w:tcW w:w="2645" w:type="dxa"/>
          </w:tcPr>
          <w:p w14:paraId="7AE731D6" w14:textId="77777777" w:rsidR="00386053" w:rsidRPr="00BE4277" w:rsidRDefault="00386053" w:rsidP="00C81E2B">
            <w:pPr>
              <w:spacing w:before="60"/>
              <w:ind w:left="113" w:right="113"/>
              <w:rPr>
                <w:highlight w:val="yellow"/>
              </w:rPr>
            </w:pPr>
            <w:r w:rsidRPr="00BE4277">
              <w:rPr>
                <w:highlight w:val="yellow"/>
              </w:rPr>
              <w:t>Financial</w:t>
            </w:r>
          </w:p>
        </w:tc>
        <w:tc>
          <w:tcPr>
            <w:tcW w:w="7129" w:type="dxa"/>
          </w:tcPr>
          <w:p w14:paraId="126FD49C" w14:textId="77777777" w:rsidR="00386053" w:rsidRPr="00BE4277" w:rsidRDefault="00386053" w:rsidP="00C81E2B">
            <w:pPr>
              <w:spacing w:before="60"/>
              <w:ind w:left="113" w:right="113"/>
              <w:rPr>
                <w:highlight w:val="yellow"/>
              </w:rPr>
            </w:pPr>
            <w:r w:rsidRPr="00BE4277">
              <w:rPr>
                <w:highlight w:val="yellow"/>
              </w:rPr>
              <w:t>Economics advisor</w:t>
            </w:r>
          </w:p>
        </w:tc>
      </w:tr>
      <w:tr w:rsidR="00386053" w:rsidRPr="00AC47E8" w14:paraId="10A3D954" w14:textId="77777777" w:rsidTr="00386053">
        <w:tc>
          <w:tcPr>
            <w:tcW w:w="846" w:type="dxa"/>
            <w:shd w:val="clear" w:color="auto" w:fill="E6E6E6"/>
          </w:tcPr>
          <w:p w14:paraId="05DF0DD8" w14:textId="77777777" w:rsidR="00386053" w:rsidRPr="008F7DC9" w:rsidRDefault="00386053" w:rsidP="00C81E2B">
            <w:pPr>
              <w:spacing w:before="60"/>
              <w:ind w:left="113" w:right="113"/>
              <w:jc w:val="right"/>
              <w:rPr>
                <w:b/>
                <w:bCs/>
                <w:highlight w:val="yellow"/>
              </w:rPr>
            </w:pPr>
            <w:r w:rsidRPr="008F7DC9">
              <w:rPr>
                <w:b/>
                <w:bCs/>
                <w:highlight w:val="yellow"/>
              </w:rPr>
              <w:t>18</w:t>
            </w:r>
          </w:p>
        </w:tc>
        <w:tc>
          <w:tcPr>
            <w:tcW w:w="2645" w:type="dxa"/>
          </w:tcPr>
          <w:p w14:paraId="5922D43C" w14:textId="77777777" w:rsidR="00386053" w:rsidRPr="00BE4277" w:rsidRDefault="00386053" w:rsidP="00C81E2B">
            <w:pPr>
              <w:spacing w:before="60"/>
              <w:ind w:left="113" w:right="113"/>
              <w:rPr>
                <w:highlight w:val="yellow"/>
              </w:rPr>
            </w:pPr>
            <w:r w:rsidRPr="00BE4277">
              <w:rPr>
                <w:highlight w:val="yellow"/>
              </w:rPr>
              <w:t>Delivery Model Analysis</w:t>
            </w:r>
          </w:p>
        </w:tc>
        <w:tc>
          <w:tcPr>
            <w:tcW w:w="7129" w:type="dxa"/>
          </w:tcPr>
          <w:p w14:paraId="2834E78D" w14:textId="77777777" w:rsidR="00386053" w:rsidRPr="00BE4277" w:rsidRDefault="00386053" w:rsidP="00C81E2B">
            <w:pPr>
              <w:spacing w:before="60"/>
              <w:ind w:left="113" w:right="113"/>
              <w:rPr>
                <w:highlight w:val="yellow"/>
              </w:rPr>
            </w:pPr>
            <w:r w:rsidRPr="00BE4277">
              <w:rPr>
                <w:highlight w:val="yellow"/>
              </w:rPr>
              <w:t>Financial advisor</w:t>
            </w:r>
          </w:p>
        </w:tc>
      </w:tr>
      <w:tr w:rsidR="00386053" w:rsidRPr="00AC47E8" w14:paraId="0AE76CE8" w14:textId="77777777" w:rsidTr="00386053">
        <w:tc>
          <w:tcPr>
            <w:tcW w:w="846" w:type="dxa"/>
            <w:shd w:val="clear" w:color="auto" w:fill="E6E6E6"/>
          </w:tcPr>
          <w:p w14:paraId="78D51B77" w14:textId="77777777" w:rsidR="00386053" w:rsidRPr="008F7DC9" w:rsidRDefault="00386053" w:rsidP="00C81E2B">
            <w:pPr>
              <w:spacing w:before="60"/>
              <w:ind w:left="113" w:right="113"/>
              <w:jc w:val="right"/>
              <w:rPr>
                <w:b/>
                <w:bCs/>
                <w:highlight w:val="yellow"/>
              </w:rPr>
            </w:pPr>
            <w:r w:rsidRPr="008F7DC9">
              <w:rPr>
                <w:b/>
                <w:bCs/>
                <w:highlight w:val="yellow"/>
              </w:rPr>
              <w:t>19</w:t>
            </w:r>
          </w:p>
        </w:tc>
        <w:tc>
          <w:tcPr>
            <w:tcW w:w="2645" w:type="dxa"/>
          </w:tcPr>
          <w:p w14:paraId="228BAE07" w14:textId="77777777" w:rsidR="00386053" w:rsidRPr="00BE4277" w:rsidRDefault="00386053" w:rsidP="00C81E2B">
            <w:pPr>
              <w:spacing w:before="60"/>
              <w:ind w:left="113" w:right="113"/>
              <w:rPr>
                <w:highlight w:val="yellow"/>
              </w:rPr>
            </w:pPr>
            <w:r w:rsidRPr="00BE4277">
              <w:rPr>
                <w:highlight w:val="yellow"/>
              </w:rPr>
              <w:t>Public Sector Comparator</w:t>
            </w:r>
          </w:p>
        </w:tc>
        <w:tc>
          <w:tcPr>
            <w:tcW w:w="7129" w:type="dxa"/>
          </w:tcPr>
          <w:p w14:paraId="639FF784" w14:textId="77777777" w:rsidR="00386053" w:rsidRPr="00BE4277" w:rsidRDefault="00386053" w:rsidP="00C81E2B">
            <w:pPr>
              <w:spacing w:before="60"/>
              <w:ind w:left="113" w:right="113"/>
              <w:rPr>
                <w:highlight w:val="yellow"/>
              </w:rPr>
            </w:pPr>
            <w:r w:rsidRPr="00BE4277">
              <w:rPr>
                <w:highlight w:val="yellow"/>
              </w:rPr>
              <w:t>Financial advisor</w:t>
            </w:r>
          </w:p>
        </w:tc>
      </w:tr>
      <w:tr w:rsidR="00386053" w:rsidRPr="00AC47E8" w14:paraId="35819DC3" w14:textId="77777777" w:rsidTr="00386053">
        <w:tc>
          <w:tcPr>
            <w:tcW w:w="846" w:type="dxa"/>
            <w:shd w:val="clear" w:color="auto" w:fill="E6E6E6"/>
          </w:tcPr>
          <w:p w14:paraId="6B49AD9C" w14:textId="77777777" w:rsidR="00386053" w:rsidRPr="008F7DC9" w:rsidRDefault="00386053" w:rsidP="00C81E2B">
            <w:pPr>
              <w:spacing w:before="60"/>
              <w:ind w:left="113" w:right="113"/>
              <w:jc w:val="right"/>
              <w:rPr>
                <w:b/>
                <w:bCs/>
                <w:highlight w:val="yellow"/>
              </w:rPr>
            </w:pPr>
            <w:r w:rsidRPr="008F7DC9">
              <w:rPr>
                <w:b/>
                <w:bCs/>
                <w:highlight w:val="yellow"/>
              </w:rPr>
              <w:t>20</w:t>
            </w:r>
          </w:p>
        </w:tc>
        <w:tc>
          <w:tcPr>
            <w:tcW w:w="2645" w:type="dxa"/>
          </w:tcPr>
          <w:p w14:paraId="049635C2" w14:textId="77777777" w:rsidR="00386053" w:rsidRPr="00BE4277" w:rsidRDefault="00386053" w:rsidP="00C81E2B">
            <w:pPr>
              <w:spacing w:before="60"/>
              <w:ind w:left="113" w:right="113"/>
              <w:rPr>
                <w:highlight w:val="yellow"/>
              </w:rPr>
            </w:pPr>
            <w:r w:rsidRPr="00BE4277">
              <w:rPr>
                <w:highlight w:val="yellow"/>
              </w:rPr>
              <w:t>Affordability</w:t>
            </w:r>
          </w:p>
        </w:tc>
        <w:tc>
          <w:tcPr>
            <w:tcW w:w="7129" w:type="dxa"/>
          </w:tcPr>
          <w:p w14:paraId="1198FF2A" w14:textId="77777777" w:rsidR="00386053" w:rsidRPr="00BE4277" w:rsidRDefault="00386053" w:rsidP="00C81E2B">
            <w:pPr>
              <w:spacing w:before="60"/>
              <w:ind w:left="113" w:right="113"/>
              <w:rPr>
                <w:highlight w:val="yellow"/>
              </w:rPr>
            </w:pPr>
            <w:r w:rsidRPr="00BE4277">
              <w:rPr>
                <w:highlight w:val="yellow"/>
              </w:rPr>
              <w:t>Financial advisor</w:t>
            </w:r>
          </w:p>
        </w:tc>
      </w:tr>
      <w:tr w:rsidR="00386053" w:rsidRPr="00AC47E8" w14:paraId="4D6F66A0" w14:textId="77777777" w:rsidTr="00386053">
        <w:tc>
          <w:tcPr>
            <w:tcW w:w="846" w:type="dxa"/>
            <w:shd w:val="clear" w:color="auto" w:fill="E6E6E6"/>
          </w:tcPr>
          <w:p w14:paraId="488E21D3" w14:textId="77777777" w:rsidR="00386053" w:rsidRPr="008F7DC9" w:rsidRDefault="00386053" w:rsidP="00C81E2B">
            <w:pPr>
              <w:spacing w:before="60"/>
              <w:ind w:left="113" w:right="113"/>
              <w:jc w:val="right"/>
              <w:rPr>
                <w:b/>
                <w:bCs/>
                <w:highlight w:val="yellow"/>
              </w:rPr>
            </w:pPr>
            <w:r w:rsidRPr="008F7DC9">
              <w:rPr>
                <w:b/>
                <w:bCs/>
                <w:highlight w:val="yellow"/>
              </w:rPr>
              <w:t>21</w:t>
            </w:r>
          </w:p>
        </w:tc>
        <w:tc>
          <w:tcPr>
            <w:tcW w:w="2645" w:type="dxa"/>
          </w:tcPr>
          <w:p w14:paraId="0FB46948" w14:textId="77777777" w:rsidR="00386053" w:rsidRPr="00BE4277" w:rsidRDefault="00386053" w:rsidP="00C81E2B">
            <w:pPr>
              <w:spacing w:before="60"/>
              <w:ind w:left="113" w:right="113"/>
              <w:rPr>
                <w:highlight w:val="yellow"/>
              </w:rPr>
            </w:pPr>
            <w:r w:rsidRPr="00BE4277">
              <w:rPr>
                <w:highlight w:val="yellow"/>
              </w:rPr>
              <w:t>Conclusions</w:t>
            </w:r>
          </w:p>
        </w:tc>
        <w:tc>
          <w:tcPr>
            <w:tcW w:w="7129" w:type="dxa"/>
          </w:tcPr>
          <w:p w14:paraId="1737A987" w14:textId="77777777" w:rsidR="00386053" w:rsidRPr="00BE4277" w:rsidRDefault="00386053" w:rsidP="00C81E2B">
            <w:pPr>
              <w:spacing w:before="60"/>
              <w:ind w:left="113" w:right="113"/>
              <w:rPr>
                <w:highlight w:val="yellow"/>
              </w:rPr>
            </w:pPr>
            <w:r w:rsidRPr="00BE4277">
              <w:rPr>
                <w:highlight w:val="yellow"/>
              </w:rPr>
              <w:t xml:space="preserve">Business Case Management Services </w:t>
            </w:r>
          </w:p>
        </w:tc>
      </w:tr>
      <w:tr w:rsidR="00386053" w:rsidRPr="00AC47E8" w14:paraId="6828885F" w14:textId="77777777" w:rsidTr="00386053">
        <w:tc>
          <w:tcPr>
            <w:tcW w:w="846" w:type="dxa"/>
            <w:shd w:val="clear" w:color="auto" w:fill="E6E6E6"/>
          </w:tcPr>
          <w:p w14:paraId="45C0E603" w14:textId="77777777" w:rsidR="00386053" w:rsidRPr="008F7DC9" w:rsidRDefault="00386053" w:rsidP="00C81E2B">
            <w:pPr>
              <w:spacing w:before="60"/>
              <w:ind w:left="113" w:right="113"/>
              <w:jc w:val="right"/>
              <w:rPr>
                <w:b/>
                <w:bCs/>
                <w:highlight w:val="yellow"/>
              </w:rPr>
            </w:pPr>
            <w:r w:rsidRPr="008F7DC9">
              <w:rPr>
                <w:b/>
                <w:bCs/>
                <w:highlight w:val="yellow"/>
              </w:rPr>
              <w:t>22</w:t>
            </w:r>
          </w:p>
        </w:tc>
        <w:tc>
          <w:tcPr>
            <w:tcW w:w="2645" w:type="dxa"/>
          </w:tcPr>
          <w:p w14:paraId="1444CB6C" w14:textId="77777777" w:rsidR="00386053" w:rsidRPr="00BE4277" w:rsidRDefault="00386053" w:rsidP="00C81E2B">
            <w:pPr>
              <w:spacing w:before="60"/>
              <w:ind w:left="113" w:right="113"/>
              <w:rPr>
                <w:highlight w:val="yellow"/>
              </w:rPr>
            </w:pPr>
            <w:r w:rsidRPr="00BE4277">
              <w:rPr>
                <w:highlight w:val="yellow"/>
              </w:rPr>
              <w:t>Assurance</w:t>
            </w:r>
          </w:p>
        </w:tc>
        <w:tc>
          <w:tcPr>
            <w:tcW w:w="7129" w:type="dxa"/>
          </w:tcPr>
          <w:p w14:paraId="2E3CA8E8" w14:textId="77777777" w:rsidR="00386053" w:rsidRPr="00BE4277" w:rsidRDefault="00386053" w:rsidP="00C81E2B">
            <w:pPr>
              <w:spacing w:before="60"/>
              <w:ind w:left="113" w:right="113"/>
              <w:rPr>
                <w:highlight w:val="yellow"/>
              </w:rPr>
            </w:pPr>
            <w:r w:rsidRPr="00BE4277">
              <w:rPr>
                <w:highlight w:val="yellow"/>
              </w:rPr>
              <w:t xml:space="preserve">Business Case Management Services </w:t>
            </w:r>
          </w:p>
        </w:tc>
      </w:tr>
      <w:tr w:rsidR="00386053" w:rsidRPr="00AC47E8" w14:paraId="784C6983" w14:textId="77777777" w:rsidTr="00386053">
        <w:tc>
          <w:tcPr>
            <w:tcW w:w="846" w:type="dxa"/>
            <w:shd w:val="clear" w:color="auto" w:fill="E6E6E6"/>
          </w:tcPr>
          <w:p w14:paraId="76049846" w14:textId="77777777" w:rsidR="00386053" w:rsidRPr="008F7DC9" w:rsidRDefault="00386053" w:rsidP="00C81E2B">
            <w:pPr>
              <w:spacing w:before="60"/>
              <w:ind w:left="113" w:right="113"/>
              <w:jc w:val="right"/>
              <w:rPr>
                <w:b/>
                <w:bCs/>
                <w:highlight w:val="yellow"/>
              </w:rPr>
            </w:pPr>
            <w:r w:rsidRPr="008F7DC9">
              <w:rPr>
                <w:b/>
                <w:bCs/>
                <w:highlight w:val="yellow"/>
              </w:rPr>
              <w:t>23</w:t>
            </w:r>
          </w:p>
        </w:tc>
        <w:tc>
          <w:tcPr>
            <w:tcW w:w="2645" w:type="dxa"/>
          </w:tcPr>
          <w:p w14:paraId="2952A79F" w14:textId="77777777" w:rsidR="00386053" w:rsidRPr="00BE4277" w:rsidRDefault="00386053" w:rsidP="00C81E2B">
            <w:pPr>
              <w:spacing w:before="60"/>
              <w:ind w:left="113" w:right="113"/>
              <w:rPr>
                <w:highlight w:val="yellow"/>
              </w:rPr>
            </w:pPr>
            <w:r w:rsidRPr="00BE4277">
              <w:rPr>
                <w:highlight w:val="yellow"/>
              </w:rPr>
              <w:t>Implementation</w:t>
            </w:r>
          </w:p>
        </w:tc>
        <w:tc>
          <w:tcPr>
            <w:tcW w:w="7129" w:type="dxa"/>
          </w:tcPr>
          <w:p w14:paraId="62F551B5" w14:textId="77777777" w:rsidR="00386053" w:rsidRPr="00BE4277" w:rsidRDefault="00386053" w:rsidP="00C81E2B">
            <w:pPr>
              <w:spacing w:before="60"/>
              <w:ind w:left="113" w:right="113"/>
              <w:rPr>
                <w:highlight w:val="yellow"/>
              </w:rPr>
            </w:pPr>
            <w:r w:rsidRPr="00BE4277">
              <w:rPr>
                <w:highlight w:val="yellow"/>
              </w:rPr>
              <w:t xml:space="preserve">Business Case Management Services </w:t>
            </w:r>
          </w:p>
        </w:tc>
      </w:tr>
      <w:tr w:rsidR="00386053" w:rsidRPr="00FB4268" w14:paraId="63C27213" w14:textId="77777777" w:rsidTr="00386053">
        <w:tc>
          <w:tcPr>
            <w:tcW w:w="846" w:type="dxa"/>
            <w:shd w:val="clear" w:color="auto" w:fill="E6E6E6"/>
          </w:tcPr>
          <w:p w14:paraId="2678C1D9" w14:textId="77777777" w:rsidR="00386053" w:rsidRPr="008F7DC9" w:rsidRDefault="00386053" w:rsidP="00C81E2B">
            <w:pPr>
              <w:spacing w:before="60"/>
              <w:ind w:left="113" w:right="113"/>
              <w:jc w:val="right"/>
              <w:rPr>
                <w:b/>
                <w:bCs/>
                <w:highlight w:val="yellow"/>
              </w:rPr>
            </w:pPr>
            <w:r w:rsidRPr="008F7DC9">
              <w:rPr>
                <w:b/>
                <w:bCs/>
                <w:highlight w:val="yellow"/>
              </w:rPr>
              <w:t>24</w:t>
            </w:r>
          </w:p>
        </w:tc>
        <w:tc>
          <w:tcPr>
            <w:tcW w:w="2645" w:type="dxa"/>
          </w:tcPr>
          <w:p w14:paraId="01B17408" w14:textId="77777777" w:rsidR="00386053" w:rsidRPr="00BE4277" w:rsidRDefault="00386053" w:rsidP="00C81E2B">
            <w:pPr>
              <w:spacing w:before="60"/>
              <w:ind w:left="113" w:right="113"/>
              <w:rPr>
                <w:highlight w:val="yellow"/>
              </w:rPr>
            </w:pPr>
            <w:r w:rsidRPr="00BE4277">
              <w:rPr>
                <w:highlight w:val="yellow"/>
              </w:rPr>
              <w:t>Recommendations</w:t>
            </w:r>
          </w:p>
        </w:tc>
        <w:tc>
          <w:tcPr>
            <w:tcW w:w="7129" w:type="dxa"/>
          </w:tcPr>
          <w:p w14:paraId="0FBD145A" w14:textId="77777777" w:rsidR="00386053" w:rsidRPr="00BE4277" w:rsidRDefault="00386053" w:rsidP="00C81E2B">
            <w:pPr>
              <w:spacing w:before="60"/>
              <w:ind w:left="113" w:right="113"/>
              <w:rPr>
                <w:highlight w:val="yellow"/>
              </w:rPr>
            </w:pPr>
            <w:r w:rsidRPr="00BE4277">
              <w:rPr>
                <w:highlight w:val="yellow"/>
              </w:rPr>
              <w:t xml:space="preserve">Business Case Management Services </w:t>
            </w:r>
          </w:p>
        </w:tc>
      </w:tr>
      <w:tr w:rsidR="00386053" w:rsidRPr="00FB4268" w14:paraId="453F7A8A" w14:textId="77777777" w:rsidTr="00386053">
        <w:tc>
          <w:tcPr>
            <w:tcW w:w="846" w:type="dxa"/>
            <w:shd w:val="clear" w:color="auto" w:fill="E6E6E6"/>
          </w:tcPr>
          <w:p w14:paraId="359F2848" w14:textId="77777777" w:rsidR="00386053" w:rsidRPr="008F7DC9" w:rsidRDefault="00386053" w:rsidP="00C81E2B">
            <w:pPr>
              <w:spacing w:before="60"/>
              <w:ind w:left="113" w:right="113"/>
              <w:jc w:val="right"/>
              <w:rPr>
                <w:b/>
                <w:bCs/>
                <w:highlight w:val="yellow"/>
              </w:rPr>
            </w:pPr>
            <w:r w:rsidRPr="008F7DC9">
              <w:rPr>
                <w:b/>
                <w:bCs/>
                <w:highlight w:val="yellow"/>
              </w:rPr>
              <w:t>25</w:t>
            </w:r>
          </w:p>
        </w:tc>
        <w:tc>
          <w:tcPr>
            <w:tcW w:w="2645" w:type="dxa"/>
          </w:tcPr>
          <w:p w14:paraId="35D922C8" w14:textId="77777777" w:rsidR="00386053" w:rsidRPr="00BE4277" w:rsidRDefault="00386053" w:rsidP="00C81E2B">
            <w:pPr>
              <w:spacing w:before="60"/>
              <w:ind w:left="113" w:right="113"/>
              <w:rPr>
                <w:highlight w:val="yellow"/>
              </w:rPr>
            </w:pPr>
            <w:r w:rsidRPr="00BE4277">
              <w:rPr>
                <w:highlight w:val="yellow"/>
              </w:rPr>
              <w:t>References</w:t>
            </w:r>
          </w:p>
        </w:tc>
        <w:tc>
          <w:tcPr>
            <w:tcW w:w="7129" w:type="dxa"/>
          </w:tcPr>
          <w:p w14:paraId="66181737" w14:textId="77777777" w:rsidR="00386053" w:rsidRPr="00BE4277" w:rsidRDefault="00386053" w:rsidP="00C81E2B">
            <w:pPr>
              <w:spacing w:before="60"/>
              <w:ind w:left="113" w:right="113"/>
              <w:rPr>
                <w:highlight w:val="yellow"/>
              </w:rPr>
            </w:pPr>
            <w:r w:rsidRPr="00BE4277">
              <w:rPr>
                <w:highlight w:val="yellow"/>
              </w:rPr>
              <w:t xml:space="preserve">Business Case Management Services </w:t>
            </w:r>
          </w:p>
        </w:tc>
      </w:tr>
    </w:tbl>
    <w:p w14:paraId="1EEFCBED" w14:textId="5DBEDB1E" w:rsidR="00386053" w:rsidRDefault="00386053" w:rsidP="005A1334">
      <w:pPr>
        <w:pStyle w:val="Heading2"/>
        <w:keepNext/>
        <w:numPr>
          <w:ilvl w:val="1"/>
          <w:numId w:val="13"/>
        </w:numPr>
        <w:rPr>
          <w:lang w:val="en-GB"/>
        </w:rPr>
      </w:pPr>
      <w:r>
        <w:rPr>
          <w:lang w:val="en-GB"/>
        </w:rPr>
        <w:t>&lt;&lt;</w:t>
      </w:r>
      <w:r w:rsidRPr="00E502DA">
        <w:rPr>
          <w:highlight w:val="yellow"/>
          <w:lang w:val="en-GB"/>
        </w:rPr>
        <w:t>Writing Style Manual</w:t>
      </w:r>
      <w:r>
        <w:rPr>
          <w:lang w:val="en-GB"/>
        </w:rPr>
        <w:t>&gt;&gt;</w:t>
      </w:r>
    </w:p>
    <w:p w14:paraId="1916193F" w14:textId="5268276F" w:rsidR="00BC5876" w:rsidRDefault="00E502DA" w:rsidP="005A1334">
      <w:pPr>
        <w:keepNext/>
      </w:pPr>
      <w:r>
        <w:t xml:space="preserve">The Economics Advisor must ensure that any business case chapters, are written in accordance with the </w:t>
      </w:r>
      <w:r w:rsidRPr="10ACA202">
        <w:rPr>
          <w:highlight w:val="yellow"/>
        </w:rPr>
        <w:t>&lt;&lt;Agency Name</w:t>
      </w:r>
      <w:r w:rsidRPr="006D3EC5">
        <w:rPr>
          <w:highlight w:val="yellow"/>
        </w:rPr>
        <w:t xml:space="preserve"> Style Manual&gt;</w:t>
      </w:r>
      <w:r w:rsidRPr="00B4456A">
        <w:rPr>
          <w:highlight w:val="yellow"/>
        </w:rPr>
        <w:t>&gt;</w:t>
      </w:r>
      <w:r>
        <w:t xml:space="preserve"> (to be provided upon contract award).</w:t>
      </w:r>
    </w:p>
    <w:p w14:paraId="52A40708" w14:textId="21393E5B" w:rsidR="00907B78" w:rsidRPr="00907B78" w:rsidRDefault="00907B78" w:rsidP="005A1334">
      <w:pPr>
        <w:pStyle w:val="Heading1"/>
        <w:keepNext/>
        <w:widowControl/>
        <w:numPr>
          <w:ilvl w:val="0"/>
          <w:numId w:val="13"/>
        </w:numPr>
      </w:pPr>
      <w:r>
        <w:t xml:space="preserve">Timeframes </w:t>
      </w:r>
    </w:p>
    <w:p w14:paraId="1A0526AF" w14:textId="77777777" w:rsidR="008F6C4C" w:rsidRDefault="008F6C4C" w:rsidP="005A1334">
      <w:pPr>
        <w:keepNext/>
      </w:pPr>
      <w:r w:rsidRPr="00CE447E">
        <w:rPr>
          <w:highlight w:val="cyan"/>
        </w:rPr>
        <w:t>[</w:t>
      </w:r>
      <w:r w:rsidRPr="002F08ED">
        <w:rPr>
          <w:highlight w:val="cyan"/>
        </w:rPr>
        <w:t xml:space="preserve">Drafting note: consideration needs to be given to the high-level timeframe requirements for your business case that would assist </w:t>
      </w:r>
      <w:r w:rsidRPr="4664C974">
        <w:rPr>
          <w:highlight w:val="cyan"/>
        </w:rPr>
        <w:t>s</w:t>
      </w:r>
      <w:r w:rsidRPr="002F08ED">
        <w:rPr>
          <w:highlight w:val="cyan"/>
        </w:rPr>
        <w:t xml:space="preserve">uppliers in understanding how to resource this role. Below are suggested milestones and you must update this list of milestones to be fit-for-purpose and aligned to your own business case program– as a minimum the “phase” end dates are required. Provide enough </w:t>
      </w:r>
      <w:r>
        <w:rPr>
          <w:highlight w:val="cyan"/>
        </w:rPr>
        <w:t xml:space="preserve">information </w:t>
      </w:r>
      <w:r w:rsidRPr="002F08ED">
        <w:rPr>
          <w:highlight w:val="cyan"/>
        </w:rPr>
        <w:t>to help with a response but don’t be overly prescriptive. If no date is known use months, however greater clarity will help respondents]</w:t>
      </w:r>
    </w:p>
    <w:p w14:paraId="52A9D5F3" w14:textId="28CA6782" w:rsidR="008F6C4C" w:rsidRPr="008F7DC9" w:rsidRDefault="008F6C4C" w:rsidP="005A1334">
      <w:pPr>
        <w:keepNext/>
        <w:rPr>
          <w:rFonts w:cs="Noto Sans"/>
        </w:rPr>
      </w:pPr>
      <w:r w:rsidRPr="008F7DC9">
        <w:rPr>
          <w:rFonts w:cs="Noto Sans"/>
          <w:color w:val="2B579A"/>
          <w:shd w:val="clear" w:color="auto" w:fill="E6E6E6"/>
        </w:rPr>
        <w:fldChar w:fldCharType="begin"/>
      </w:r>
      <w:r w:rsidRPr="008F7DC9">
        <w:rPr>
          <w:rFonts w:cs="Noto Sans"/>
        </w:rPr>
        <w:instrText xml:space="preserve"> REF _Ref76390715 \h </w:instrText>
      </w:r>
      <w:r w:rsidR="008F7DC9">
        <w:rPr>
          <w:rFonts w:cs="Noto Sans"/>
          <w:color w:val="2B579A"/>
          <w:shd w:val="clear" w:color="auto" w:fill="E6E6E6"/>
        </w:rPr>
        <w:instrText xml:space="preserve"> \* MERGEFORMAT </w:instrText>
      </w:r>
      <w:r w:rsidRPr="008F7DC9">
        <w:rPr>
          <w:rFonts w:cs="Noto Sans"/>
          <w:color w:val="2B579A"/>
          <w:shd w:val="clear" w:color="auto" w:fill="E6E6E6"/>
        </w:rPr>
      </w:r>
      <w:r w:rsidRPr="008F7DC9">
        <w:rPr>
          <w:rFonts w:cs="Noto Sans"/>
          <w:color w:val="2B579A"/>
          <w:shd w:val="clear" w:color="auto" w:fill="E6E6E6"/>
        </w:rPr>
        <w:fldChar w:fldCharType="separate"/>
      </w:r>
      <w:r w:rsidRPr="008F7DC9">
        <w:rPr>
          <w:rFonts w:cs="Noto Sans"/>
        </w:rPr>
        <w:t xml:space="preserve">Table </w:t>
      </w:r>
      <w:r w:rsidRPr="008F7DC9">
        <w:rPr>
          <w:rFonts w:cs="Noto Sans"/>
          <w:noProof/>
        </w:rPr>
        <w:t>3</w:t>
      </w:r>
      <w:r w:rsidRPr="008F7DC9">
        <w:rPr>
          <w:rFonts w:cs="Noto Sans"/>
          <w:color w:val="2B579A"/>
          <w:shd w:val="clear" w:color="auto" w:fill="E6E6E6"/>
        </w:rPr>
        <w:fldChar w:fldCharType="end"/>
      </w:r>
      <w:r w:rsidRPr="008F7DC9">
        <w:rPr>
          <w:rFonts w:cs="Noto Sans"/>
        </w:rPr>
        <w:t xml:space="preserve"> outlines the key milestones currently anticipated for the development of the detailed business case.</w:t>
      </w:r>
    </w:p>
    <w:p w14:paraId="5881A4F7" w14:textId="1963E810" w:rsidR="008F6C4C" w:rsidRPr="008F7DC9" w:rsidRDefault="008F6C4C" w:rsidP="005A1334">
      <w:pPr>
        <w:pStyle w:val="Caption"/>
        <w:keepNext/>
        <w:rPr>
          <w:rFonts w:ascii="Noto Sans" w:hAnsi="Noto Sans" w:cs="Noto Sans"/>
          <w:color w:val="auto"/>
        </w:rPr>
      </w:pPr>
      <w:bookmarkStart w:id="2" w:name="_Ref76390715"/>
      <w:r w:rsidRPr="008F7DC9">
        <w:rPr>
          <w:rFonts w:ascii="Noto Sans" w:hAnsi="Noto Sans" w:cs="Noto Sans"/>
          <w:color w:val="auto"/>
        </w:rPr>
        <w:t xml:space="preserve">Table </w:t>
      </w:r>
      <w:r w:rsidRPr="008F7DC9">
        <w:rPr>
          <w:rFonts w:ascii="Noto Sans" w:hAnsi="Noto Sans" w:cs="Noto Sans"/>
          <w:color w:val="auto"/>
        </w:rPr>
        <w:fldChar w:fldCharType="begin"/>
      </w:r>
      <w:r w:rsidRPr="008F7DC9">
        <w:rPr>
          <w:rFonts w:ascii="Noto Sans" w:hAnsi="Noto Sans" w:cs="Noto Sans"/>
          <w:color w:val="auto"/>
        </w:rPr>
        <w:instrText xml:space="preserve"> SEQ Table \* ARABIC </w:instrText>
      </w:r>
      <w:r w:rsidRPr="008F7DC9">
        <w:rPr>
          <w:rFonts w:ascii="Noto Sans" w:hAnsi="Noto Sans" w:cs="Noto Sans"/>
          <w:color w:val="auto"/>
        </w:rPr>
        <w:fldChar w:fldCharType="separate"/>
      </w:r>
      <w:r w:rsidRPr="008F7DC9">
        <w:rPr>
          <w:rFonts w:ascii="Noto Sans" w:hAnsi="Noto Sans" w:cs="Noto Sans"/>
          <w:noProof/>
          <w:color w:val="auto"/>
        </w:rPr>
        <w:t>3</w:t>
      </w:r>
      <w:r w:rsidRPr="008F7DC9">
        <w:rPr>
          <w:rFonts w:ascii="Noto Sans" w:hAnsi="Noto Sans" w:cs="Noto Sans"/>
          <w:noProof/>
          <w:color w:val="auto"/>
        </w:rPr>
        <w:fldChar w:fldCharType="end"/>
      </w:r>
      <w:bookmarkEnd w:id="2"/>
      <w:r w:rsidRPr="008F7DC9">
        <w:rPr>
          <w:rFonts w:ascii="Noto Sans" w:hAnsi="Noto Sans" w:cs="Noto Sans"/>
          <w:color w:val="auto"/>
        </w:rPr>
        <w:t xml:space="preserve">: Business Case </w:t>
      </w:r>
      <w:r w:rsidR="008F7DC9" w:rsidRPr="008F7DC9">
        <w:rPr>
          <w:rFonts w:ascii="Noto Sans" w:hAnsi="Noto Sans" w:cs="Noto Sans"/>
          <w:color w:val="auto"/>
        </w:rPr>
        <w:t>d</w:t>
      </w:r>
      <w:r w:rsidRPr="008F7DC9">
        <w:rPr>
          <w:rFonts w:ascii="Noto Sans" w:hAnsi="Noto Sans" w:cs="Noto Sans"/>
          <w:color w:val="auto"/>
        </w:rPr>
        <w:t xml:space="preserve">evelopment </w:t>
      </w:r>
      <w:r w:rsidR="008F7DC9" w:rsidRPr="008F7DC9">
        <w:rPr>
          <w:rFonts w:ascii="Noto Sans" w:hAnsi="Noto Sans" w:cs="Noto Sans"/>
          <w:color w:val="auto"/>
        </w:rPr>
        <w:t>t</w:t>
      </w:r>
      <w:r w:rsidRPr="008F7DC9">
        <w:rPr>
          <w:rFonts w:ascii="Noto Sans" w:hAnsi="Noto Sans" w:cs="Noto Sans"/>
          <w:color w:val="auto"/>
        </w:rPr>
        <w:t>imeframes</w:t>
      </w:r>
    </w:p>
    <w:tbl>
      <w:tblPr>
        <w:tblStyle w:val="Table-QldBlue"/>
        <w:tblW w:w="5000" w:type="pct"/>
        <w:tblLayout w:type="fixed"/>
        <w:tblLook w:val="0620" w:firstRow="1" w:lastRow="0" w:firstColumn="0" w:lastColumn="0" w:noHBand="1" w:noVBand="1"/>
      </w:tblPr>
      <w:tblGrid>
        <w:gridCol w:w="5239"/>
        <w:gridCol w:w="5241"/>
      </w:tblGrid>
      <w:tr w:rsidR="0024081A" w:rsidRPr="0024081A" w14:paraId="2C2FEAF6" w14:textId="77777777" w:rsidTr="00EE0536">
        <w:trPr>
          <w:cnfStyle w:val="100000000000" w:firstRow="1" w:lastRow="0" w:firstColumn="0" w:lastColumn="0" w:oddVBand="0" w:evenVBand="0" w:oddHBand="0" w:evenHBand="0" w:firstRowFirstColumn="0" w:firstRowLastColumn="0" w:lastRowFirstColumn="0" w:lastRowLastColumn="0"/>
        </w:trPr>
        <w:tc>
          <w:tcPr>
            <w:tcW w:w="5239" w:type="dxa"/>
            <w:hideMark/>
          </w:tcPr>
          <w:p w14:paraId="3551FB4B" w14:textId="77777777" w:rsidR="0024081A" w:rsidRPr="0024081A" w:rsidRDefault="0024081A" w:rsidP="0024081A">
            <w:r w:rsidRPr="0024081A">
              <w:t>Activity/Phase</w:t>
            </w:r>
          </w:p>
        </w:tc>
        <w:tc>
          <w:tcPr>
            <w:tcW w:w="5241" w:type="dxa"/>
            <w:hideMark/>
          </w:tcPr>
          <w:p w14:paraId="252233F4" w14:textId="0F98E6E7" w:rsidR="0024081A" w:rsidRPr="0024081A" w:rsidRDefault="008F6C4C" w:rsidP="0024081A">
            <w:r>
              <w:t>Suggested</w:t>
            </w:r>
            <w:r w:rsidR="00EF1D19">
              <w:t xml:space="preserve"> </w:t>
            </w:r>
            <w:r w:rsidR="008F7DC9">
              <w:t>t</w:t>
            </w:r>
            <w:r w:rsidR="00EF1D19">
              <w:t>imeframes</w:t>
            </w:r>
            <w:r w:rsidR="0024081A" w:rsidRPr="0024081A">
              <w:t xml:space="preserve"> </w:t>
            </w:r>
          </w:p>
        </w:tc>
      </w:tr>
      <w:tr w:rsidR="00CE08CC" w:rsidRPr="0024081A" w14:paraId="5536C95C" w14:textId="77777777" w:rsidTr="008F7DC9">
        <w:tc>
          <w:tcPr>
            <w:tcW w:w="5239" w:type="dxa"/>
            <w:shd w:val="clear" w:color="auto" w:fill="E7E6E6" w:themeFill="background2"/>
          </w:tcPr>
          <w:p w14:paraId="4555B89B" w14:textId="05241A21" w:rsidR="00CE08CC" w:rsidRPr="008F7DC9" w:rsidRDefault="006467F6" w:rsidP="00861E6C">
            <w:pPr>
              <w:rPr>
                <w:b/>
                <w:bCs/>
              </w:rPr>
            </w:pPr>
            <w:r w:rsidRPr="008F7DC9">
              <w:rPr>
                <w:b/>
                <w:bCs/>
              </w:rPr>
              <w:t>Initiation complete</w:t>
            </w:r>
          </w:p>
        </w:tc>
        <w:tc>
          <w:tcPr>
            <w:tcW w:w="5241" w:type="dxa"/>
          </w:tcPr>
          <w:p w14:paraId="0497F8F7" w14:textId="77777777" w:rsidR="00CE08CC" w:rsidRPr="00861E6C" w:rsidRDefault="00CE08CC" w:rsidP="00861E6C"/>
        </w:tc>
      </w:tr>
      <w:tr w:rsidR="00CE08CC" w:rsidRPr="0024081A" w14:paraId="158F3FD3" w14:textId="77777777" w:rsidTr="008F7DC9">
        <w:tc>
          <w:tcPr>
            <w:tcW w:w="5239" w:type="dxa"/>
            <w:shd w:val="clear" w:color="auto" w:fill="E7E6E6" w:themeFill="background2"/>
          </w:tcPr>
          <w:p w14:paraId="31D7C004" w14:textId="427EC2D6" w:rsidR="00CE08CC" w:rsidRPr="008F7DC9" w:rsidRDefault="00861E6C" w:rsidP="00861E6C">
            <w:pPr>
              <w:rPr>
                <w:b/>
                <w:bCs/>
                <w:highlight w:val="yellow"/>
              </w:rPr>
            </w:pPr>
            <w:r w:rsidRPr="008F7DC9">
              <w:rPr>
                <w:b/>
                <w:bCs/>
                <w:highlight w:val="yellow"/>
              </w:rPr>
              <w:t>Advice on proposed Approach and Methodology</w:t>
            </w:r>
          </w:p>
        </w:tc>
        <w:tc>
          <w:tcPr>
            <w:tcW w:w="5241" w:type="dxa"/>
          </w:tcPr>
          <w:p w14:paraId="3CEE1B04" w14:textId="77777777" w:rsidR="00CE08CC" w:rsidRPr="00861E6C" w:rsidRDefault="00CE08CC" w:rsidP="00861E6C"/>
        </w:tc>
      </w:tr>
      <w:tr w:rsidR="00CE08CC" w:rsidRPr="0024081A" w14:paraId="68BEC85F" w14:textId="77777777" w:rsidTr="008F7DC9">
        <w:tc>
          <w:tcPr>
            <w:tcW w:w="5239" w:type="dxa"/>
            <w:shd w:val="clear" w:color="auto" w:fill="E7E6E6" w:themeFill="background2"/>
          </w:tcPr>
          <w:p w14:paraId="33902D30" w14:textId="20F8E764" w:rsidR="00CE08CC" w:rsidRPr="008F7DC9" w:rsidRDefault="00861E6C" w:rsidP="00861E6C">
            <w:pPr>
              <w:rPr>
                <w:b/>
                <w:bCs/>
                <w:highlight w:val="yellow"/>
              </w:rPr>
            </w:pPr>
            <w:r w:rsidRPr="008F7DC9">
              <w:rPr>
                <w:b/>
                <w:bCs/>
                <w:highlight w:val="yellow"/>
              </w:rPr>
              <w:t>Milestone 1</w:t>
            </w:r>
          </w:p>
        </w:tc>
        <w:tc>
          <w:tcPr>
            <w:tcW w:w="5241" w:type="dxa"/>
          </w:tcPr>
          <w:p w14:paraId="3D22525F" w14:textId="77777777" w:rsidR="00CE08CC" w:rsidRPr="00861E6C" w:rsidRDefault="00CE08CC" w:rsidP="00861E6C"/>
        </w:tc>
      </w:tr>
      <w:tr w:rsidR="00CE08CC" w:rsidRPr="0024081A" w14:paraId="03F7AC8D" w14:textId="77777777" w:rsidTr="008F7DC9">
        <w:tc>
          <w:tcPr>
            <w:tcW w:w="5239" w:type="dxa"/>
            <w:shd w:val="clear" w:color="auto" w:fill="E7E6E6" w:themeFill="background2"/>
          </w:tcPr>
          <w:p w14:paraId="7A19D7C0" w14:textId="27ABFCD3" w:rsidR="00CE08CC" w:rsidRPr="008F7DC9" w:rsidRDefault="00861E6C" w:rsidP="00861E6C">
            <w:pPr>
              <w:rPr>
                <w:b/>
                <w:bCs/>
                <w:highlight w:val="yellow"/>
              </w:rPr>
            </w:pPr>
            <w:r w:rsidRPr="008F7DC9">
              <w:rPr>
                <w:b/>
                <w:bCs/>
                <w:highlight w:val="yellow"/>
              </w:rPr>
              <w:t>Milestone 2</w:t>
            </w:r>
          </w:p>
        </w:tc>
        <w:tc>
          <w:tcPr>
            <w:tcW w:w="5241" w:type="dxa"/>
          </w:tcPr>
          <w:p w14:paraId="4C76C886" w14:textId="77777777" w:rsidR="00CE08CC" w:rsidRPr="00861E6C" w:rsidRDefault="00CE08CC" w:rsidP="00861E6C"/>
        </w:tc>
      </w:tr>
      <w:tr w:rsidR="00CE08CC" w:rsidRPr="0024081A" w14:paraId="6CDE2FCF" w14:textId="77777777" w:rsidTr="008F7DC9">
        <w:tc>
          <w:tcPr>
            <w:tcW w:w="5239" w:type="dxa"/>
            <w:shd w:val="clear" w:color="auto" w:fill="E7E6E6" w:themeFill="background2"/>
          </w:tcPr>
          <w:p w14:paraId="4FA357F7" w14:textId="15046B49" w:rsidR="00CE08CC" w:rsidRPr="008F7DC9" w:rsidRDefault="008F6C4C" w:rsidP="00861E6C">
            <w:pPr>
              <w:rPr>
                <w:b/>
                <w:bCs/>
              </w:rPr>
            </w:pPr>
            <w:r w:rsidRPr="008F7DC9">
              <w:rPr>
                <w:b/>
                <w:bCs/>
              </w:rPr>
              <w:t>Development phase complete</w:t>
            </w:r>
          </w:p>
        </w:tc>
        <w:tc>
          <w:tcPr>
            <w:tcW w:w="5241" w:type="dxa"/>
          </w:tcPr>
          <w:p w14:paraId="48728828" w14:textId="77777777" w:rsidR="00CE08CC" w:rsidRPr="00861E6C" w:rsidRDefault="00CE08CC" w:rsidP="00861E6C"/>
        </w:tc>
      </w:tr>
      <w:tr w:rsidR="00CE08CC" w:rsidRPr="0024081A" w14:paraId="423D5884" w14:textId="77777777" w:rsidTr="008F7DC9">
        <w:tc>
          <w:tcPr>
            <w:tcW w:w="5239" w:type="dxa"/>
            <w:shd w:val="clear" w:color="auto" w:fill="E7E6E6" w:themeFill="background2"/>
          </w:tcPr>
          <w:p w14:paraId="22DD0AC4" w14:textId="6043CDBD" w:rsidR="00CE08CC" w:rsidRPr="008F7DC9" w:rsidRDefault="008F6C4C" w:rsidP="00861E6C">
            <w:pPr>
              <w:rPr>
                <w:b/>
                <w:bCs/>
              </w:rPr>
            </w:pPr>
            <w:r w:rsidRPr="008F7DC9">
              <w:rPr>
                <w:b/>
                <w:bCs/>
              </w:rPr>
              <w:t>Business case draft complete</w:t>
            </w:r>
          </w:p>
        </w:tc>
        <w:tc>
          <w:tcPr>
            <w:tcW w:w="5241" w:type="dxa"/>
          </w:tcPr>
          <w:p w14:paraId="14F2D0B4" w14:textId="77777777" w:rsidR="00CE08CC" w:rsidRPr="00861E6C" w:rsidRDefault="00CE08CC" w:rsidP="00861E6C"/>
        </w:tc>
      </w:tr>
      <w:tr w:rsidR="00861E6C" w:rsidRPr="0024081A" w14:paraId="04051E6C" w14:textId="77777777" w:rsidTr="008F7DC9">
        <w:tc>
          <w:tcPr>
            <w:tcW w:w="5239" w:type="dxa"/>
            <w:shd w:val="clear" w:color="auto" w:fill="E7E6E6" w:themeFill="background2"/>
          </w:tcPr>
          <w:p w14:paraId="65221582" w14:textId="4C8A59EB" w:rsidR="00861E6C" w:rsidRPr="008F7DC9" w:rsidRDefault="00861E6C" w:rsidP="00861E6C">
            <w:pPr>
              <w:rPr>
                <w:b/>
                <w:bCs/>
              </w:rPr>
            </w:pPr>
            <w:r w:rsidRPr="008F7DC9">
              <w:rPr>
                <w:b/>
                <w:bCs/>
              </w:rPr>
              <w:t>Close out phase complete (Contract close)</w:t>
            </w:r>
          </w:p>
        </w:tc>
        <w:tc>
          <w:tcPr>
            <w:tcW w:w="5241" w:type="dxa"/>
          </w:tcPr>
          <w:p w14:paraId="67A019A8" w14:textId="77777777" w:rsidR="00861E6C" w:rsidRPr="00861E6C" w:rsidRDefault="00861E6C" w:rsidP="00861E6C"/>
        </w:tc>
      </w:tr>
    </w:tbl>
    <w:p w14:paraId="7F5B473B" w14:textId="77777777" w:rsidR="0024081A" w:rsidRPr="0024081A" w:rsidRDefault="0024081A" w:rsidP="005A1334">
      <w:pPr>
        <w:ind w:left="720"/>
      </w:pPr>
    </w:p>
    <w:sectPr w:rsidR="0024081A" w:rsidRPr="0024081A" w:rsidSect="002C3A02">
      <w:headerReference w:type="default" r:id="rId14"/>
      <w:footerReference w:type="default" r:id="rId15"/>
      <w:headerReference w:type="first" r:id="rId16"/>
      <w:pgSz w:w="11906" w:h="16838" w:code="9"/>
      <w:pgMar w:top="993"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EF030" w14:textId="77777777" w:rsidR="00ED75B5" w:rsidRDefault="00ED75B5" w:rsidP="00190C24">
      <w:r>
        <w:separator/>
      </w:r>
    </w:p>
  </w:endnote>
  <w:endnote w:type="continuationSeparator" w:id="0">
    <w:p w14:paraId="7B558922" w14:textId="77777777" w:rsidR="00ED75B5" w:rsidRDefault="00ED75B5"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3576" w14:textId="2FAD589A" w:rsidR="00D17E7D" w:rsidRDefault="007A6626">
    <w:pPr>
      <w:pStyle w:val="Footer"/>
    </w:pP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58243" behindDoc="0" locked="0" layoutInCell="1" allowOverlap="1" wp14:anchorId="79EA3316" wp14:editId="4D81549A">
              <wp:simplePos x="0" y="0"/>
              <wp:positionH relativeFrom="column">
                <wp:posOffset>-59690</wp:posOffset>
              </wp:positionH>
              <wp:positionV relativeFrom="paragraph">
                <wp:posOffset>207010</wp:posOffset>
              </wp:positionV>
              <wp:extent cx="3505200" cy="581025"/>
              <wp:effectExtent l="0" t="0" r="0" b="0"/>
              <wp:wrapNone/>
              <wp:docPr id="1421459739" name="Text Box 1"/>
              <wp:cNvGraphicFramePr/>
              <a:graphic xmlns:a="http://schemas.openxmlformats.org/drawingml/2006/main">
                <a:graphicData uri="http://schemas.microsoft.com/office/word/2010/wordprocessingShape">
                  <wps:wsp>
                    <wps:cNvSpPr txBox="1"/>
                    <wps:spPr>
                      <a:xfrm>
                        <a:off x="0" y="0"/>
                        <a:ext cx="3505200" cy="581025"/>
                      </a:xfrm>
                      <a:prstGeom prst="rect">
                        <a:avLst/>
                      </a:prstGeom>
                      <a:noFill/>
                      <a:ln w="6350">
                        <a:noFill/>
                      </a:ln>
                    </wps:spPr>
                    <wps:txbx>
                      <w:txbxContent>
                        <w:sdt>
                          <w:sdtPr>
                            <w:rPr>
                              <w:rFonts w:cs="Noto Sans"/>
                            </w:rPr>
                            <w:id w:val="1639688573"/>
                            <w:docPartObj>
                              <w:docPartGallery w:val="Page Numbers (Bottom of Page)"/>
                              <w:docPartUnique/>
                            </w:docPartObj>
                          </w:sdtPr>
                          <w:sdtEndPr>
                            <w:rPr>
                              <w:noProof/>
                              <w:color w:val="FFFFFF" w:themeColor="background1"/>
                            </w:rPr>
                          </w:sdtEndPr>
                          <w:sdtContent>
                            <w:p w14:paraId="515DA1C6" w14:textId="3B1BC2F3" w:rsidR="007A6626" w:rsidRPr="007A6626" w:rsidRDefault="00EC52A1" w:rsidP="007A6626">
                              <w:pPr>
                                <w:spacing w:before="120"/>
                                <w:rPr>
                                  <w:rStyle w:val="Heading1Char"/>
                                  <w:b w:val="0"/>
                                  <w:bCs/>
                                </w:rPr>
                              </w:pPr>
                              <w:r w:rsidRPr="00731D5A">
                                <w:rPr>
                                  <w:rFonts w:cs="Noto Sans"/>
                                  <w:color w:val="FFFFFF" w:themeColor="background1"/>
                                </w:rPr>
                                <w:fldChar w:fldCharType="begin"/>
                              </w:r>
                              <w:r w:rsidRPr="00731D5A">
                                <w:rPr>
                                  <w:rFonts w:cs="Noto Sans"/>
                                  <w:color w:val="FFFFFF" w:themeColor="background1"/>
                                </w:rPr>
                                <w:instrText xml:space="preserve"> PAGE   \* MERGEFORMAT </w:instrText>
                              </w:r>
                              <w:r w:rsidRPr="00731D5A">
                                <w:rPr>
                                  <w:rFonts w:cs="Noto Sans"/>
                                  <w:color w:val="FFFFFF" w:themeColor="background1"/>
                                </w:rPr>
                                <w:fldChar w:fldCharType="separate"/>
                              </w:r>
                              <w:r w:rsidRPr="00731D5A">
                                <w:rPr>
                                  <w:rFonts w:cs="Noto Sans"/>
                                  <w:color w:val="FFFFFF" w:themeColor="background1"/>
                                </w:rPr>
                                <w:t>1</w:t>
                              </w:r>
                              <w:r w:rsidRPr="00731D5A">
                                <w:rPr>
                                  <w:rFonts w:cs="Noto Sans"/>
                                  <w:noProof/>
                                  <w:color w:val="FFFFFF" w:themeColor="background1"/>
                                </w:rPr>
                                <w:fldChar w:fldCharType="end"/>
                              </w:r>
                              <w:r w:rsidRPr="00731D5A">
                                <w:rPr>
                                  <w:rFonts w:cs="Noto Sans"/>
                                  <w:noProof/>
                                  <w:color w:val="FFFFFF" w:themeColor="background1"/>
                                </w:rPr>
                                <w:t xml:space="preserve"> </w:t>
                              </w:r>
                              <w:r w:rsidRPr="00731D5A">
                                <w:rPr>
                                  <w:rFonts w:ascii="MS Gothic" w:eastAsia="MS Gothic" w:hAnsi="MS Gothic" w:cs="MS Gothic" w:hint="eastAsia"/>
                                  <w:noProof/>
                                  <w:color w:val="FFFFFF" w:themeColor="background1"/>
                                </w:rPr>
                                <w:t>│</w:t>
                              </w:r>
                              <w:r w:rsidRPr="00731D5A">
                                <w:rPr>
                                  <w:rFonts w:cs="Noto Sans"/>
                                  <w:noProof/>
                                  <w:color w:val="FFFFFF" w:themeColor="background1"/>
                                </w:rPr>
                                <w:t xml:space="preserve"> </w:t>
                              </w:r>
                              <w:sdt>
                                <w:sdtPr>
                                  <w:rPr>
                                    <w:rStyle w:val="Heading1Char"/>
                                    <w:b w:val="0"/>
                                    <w:bCs/>
                                    <w:color w:val="FFFFFF" w:themeColor="background1"/>
                                    <w:sz w:val="20"/>
                                    <w:szCs w:val="20"/>
                                  </w:rPr>
                                  <w:alias w:val="Subject"/>
                                  <w:id w:val="474421005"/>
                                  <w:placeholder>
                                    <w:docPart w:val="6317D91A18DB460BAF41E4A18BD02E85"/>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DA35E2">
                                    <w:rPr>
                                      <w:rStyle w:val="Heading1Char"/>
                                      <w:b w:val="0"/>
                                      <w:bCs/>
                                      <w:color w:val="FFFFFF" w:themeColor="background1"/>
                                      <w:sz w:val="20"/>
                                      <w:szCs w:val="20"/>
                                    </w:rPr>
                                    <w:t>Stakeholder Engagement, Communications and Social Impact Evaluation Services</w:t>
                                  </w:r>
                                </w:sdtContent>
                              </w:sdt>
                            </w:p>
                            <w:p w14:paraId="4180BD32" w14:textId="1013F908" w:rsidR="00EC52A1" w:rsidRPr="00731D5A" w:rsidRDefault="00153F2C" w:rsidP="00EC52A1">
                              <w:pPr>
                                <w:pStyle w:val="Footer"/>
                                <w:rPr>
                                  <w:rFonts w:cs="Noto Sans"/>
                                  <w:color w:val="FFFFFF" w:themeColor="background1"/>
                                </w:rPr>
                              </w:pPr>
                            </w:p>
                          </w:sdtContent>
                        </w:sdt>
                        <w:p w14:paraId="02E70833" w14:textId="77777777" w:rsidR="00EC52A1" w:rsidRDefault="00EC52A1" w:rsidP="00EC52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A3316" id="_x0000_t202" coordsize="21600,21600" o:spt="202" path="m,l,21600r21600,l21600,xe">
              <v:stroke joinstyle="miter"/>
              <v:path gradientshapeok="t" o:connecttype="rect"/>
            </v:shapetype>
            <v:shape id="Text Box 1" o:spid="_x0000_s1026" type="#_x0000_t202" style="position:absolute;margin-left:-4.7pt;margin-top:16.3pt;width:276pt;height:45.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" filled="f" stroked="f" strokeweight=".5pt">
              <v:textbox>
                <w:txbxContent>
                  <w:sdt>
                    <w:sdtPr>
                      <w:rPr>
                        <w:rFonts w:cs="Noto Sans"/>
                      </w:rPr>
                      <w:id w:val="1639688573"/>
                      <w:docPartObj>
                        <w:docPartGallery w:val="Page Numbers (Bottom of Page)"/>
                        <w:docPartUnique/>
                      </w:docPartObj>
                    </w:sdtPr>
                    <w:sdtEndPr>
                      <w:rPr>
                        <w:noProof/>
                        <w:color w:val="FFFFFF" w:themeColor="background1"/>
                      </w:rPr>
                    </w:sdtEndPr>
                    <w:sdtContent>
                      <w:p w14:paraId="515DA1C6" w14:textId="3B1BC2F3" w:rsidR="007A6626" w:rsidRPr="007A6626" w:rsidRDefault="00EC52A1" w:rsidP="007A6626">
                        <w:pPr>
                          <w:spacing w:before="120"/>
                          <w:rPr>
                            <w:rStyle w:val="Heading1Char"/>
                            <w:b w:val="0"/>
                            <w:bCs/>
                          </w:rPr>
                        </w:pPr>
                        <w:r w:rsidRPr="00731D5A">
                          <w:rPr>
                            <w:rFonts w:cs="Noto Sans"/>
                            <w:color w:val="FFFFFF" w:themeColor="background1"/>
                          </w:rPr>
                          <w:fldChar w:fldCharType="begin"/>
                        </w:r>
                        <w:r w:rsidRPr="00731D5A">
                          <w:rPr>
                            <w:rFonts w:cs="Noto Sans"/>
                            <w:color w:val="FFFFFF" w:themeColor="background1"/>
                          </w:rPr>
                          <w:instrText xml:space="preserve"> PAGE   \* MERGEFORMAT </w:instrText>
                        </w:r>
                        <w:r w:rsidRPr="00731D5A">
                          <w:rPr>
                            <w:rFonts w:cs="Noto Sans"/>
                            <w:color w:val="FFFFFF" w:themeColor="background1"/>
                          </w:rPr>
                          <w:fldChar w:fldCharType="separate"/>
                        </w:r>
                        <w:r w:rsidRPr="00731D5A">
                          <w:rPr>
                            <w:rFonts w:cs="Noto Sans"/>
                            <w:color w:val="FFFFFF" w:themeColor="background1"/>
                          </w:rPr>
                          <w:t>1</w:t>
                        </w:r>
                        <w:r w:rsidRPr="00731D5A">
                          <w:rPr>
                            <w:rFonts w:cs="Noto Sans"/>
                            <w:noProof/>
                            <w:color w:val="FFFFFF" w:themeColor="background1"/>
                          </w:rPr>
                          <w:fldChar w:fldCharType="end"/>
                        </w:r>
                        <w:r w:rsidRPr="00731D5A">
                          <w:rPr>
                            <w:rFonts w:cs="Noto Sans"/>
                            <w:noProof/>
                            <w:color w:val="FFFFFF" w:themeColor="background1"/>
                          </w:rPr>
                          <w:t xml:space="preserve"> </w:t>
                        </w:r>
                        <w:r w:rsidRPr="00731D5A">
                          <w:rPr>
                            <w:rFonts w:ascii="MS Gothic" w:eastAsia="MS Gothic" w:hAnsi="MS Gothic" w:cs="MS Gothic" w:hint="eastAsia"/>
                            <w:noProof/>
                            <w:color w:val="FFFFFF" w:themeColor="background1"/>
                          </w:rPr>
                          <w:t>│</w:t>
                        </w:r>
                        <w:r w:rsidRPr="00731D5A">
                          <w:rPr>
                            <w:rFonts w:cs="Noto Sans"/>
                            <w:noProof/>
                            <w:color w:val="FFFFFF" w:themeColor="background1"/>
                          </w:rPr>
                          <w:t xml:space="preserve"> </w:t>
                        </w:r>
                        <w:sdt>
                          <w:sdtPr>
                            <w:rPr>
                              <w:rStyle w:val="Heading1Char"/>
                              <w:b w:val="0"/>
                              <w:bCs/>
                              <w:color w:val="FFFFFF" w:themeColor="background1"/>
                              <w:sz w:val="20"/>
                              <w:szCs w:val="20"/>
                            </w:rPr>
                            <w:alias w:val="Subject"/>
                            <w:id w:val="474421005"/>
                            <w:placeholder>
                              <w:docPart w:val="6317D91A18DB460BAF41E4A18BD02E85"/>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DA35E2">
                              <w:rPr>
                                <w:rStyle w:val="Heading1Char"/>
                                <w:b w:val="0"/>
                                <w:bCs/>
                                <w:color w:val="FFFFFF" w:themeColor="background1"/>
                                <w:sz w:val="20"/>
                                <w:szCs w:val="20"/>
                              </w:rPr>
                              <w:t>Stakeholder Engagement, Communications and Social Impact Evaluation Services</w:t>
                            </w:r>
                          </w:sdtContent>
                        </w:sdt>
                      </w:p>
                      <w:p w14:paraId="4180BD32" w14:textId="1013F908" w:rsidR="00EC52A1" w:rsidRPr="00731D5A" w:rsidRDefault="00153F2C" w:rsidP="00EC52A1">
                        <w:pPr>
                          <w:pStyle w:val="Footer"/>
                          <w:rPr>
                            <w:rFonts w:cs="Noto Sans"/>
                            <w:color w:val="FFFFFF" w:themeColor="background1"/>
                          </w:rPr>
                        </w:pPr>
                      </w:p>
                    </w:sdtContent>
                  </w:sdt>
                  <w:p w14:paraId="02E70833" w14:textId="77777777" w:rsidR="00EC52A1" w:rsidRDefault="00EC52A1" w:rsidP="00EC52A1"/>
                </w:txbxContent>
              </v:textbox>
            </v:shape>
          </w:pict>
        </mc:Fallback>
      </mc:AlternateContent>
    </w:r>
    <w:r w:rsidR="002C3A02">
      <w:rPr>
        <w:noProof/>
      </w:rPr>
      <mc:AlternateContent>
        <mc:Choice Requires="wps">
          <w:drawing>
            <wp:anchor distT="0" distB="0" distL="114300" distR="114300" simplePos="0" relativeHeight="251658241" behindDoc="1" locked="1" layoutInCell="1" allowOverlap="1" wp14:anchorId="04A807F2" wp14:editId="2071DDC8">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3F2AFAD"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sidR="002C3A02">
      <w:rPr>
        <w:noProof/>
      </w:rPr>
      <w:drawing>
        <wp:anchor distT="0" distB="0" distL="114300" distR="114300" simplePos="0" relativeHeight="251658242" behindDoc="1" locked="0" layoutInCell="1" allowOverlap="1" wp14:anchorId="2D9CB407" wp14:editId="6FB3498E">
          <wp:simplePos x="0" y="0"/>
          <wp:positionH relativeFrom="column">
            <wp:posOffset>3484178</wp:posOffset>
          </wp:positionH>
          <wp:positionV relativeFrom="paragraph">
            <wp:posOffset>161235</wp:posOffset>
          </wp:positionV>
          <wp:extent cx="3097132" cy="520504"/>
          <wp:effectExtent l="0" t="0" r="0" b="0"/>
          <wp:wrapNone/>
          <wp:docPr id="472935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4BA1D0D3" w14:textId="58723021" w:rsidR="00D17E7D" w:rsidRDefault="00D17E7D">
    <w:pPr>
      <w:pStyle w:val="Footer"/>
    </w:pPr>
  </w:p>
  <w:p w14:paraId="19D50A24" w14:textId="778B85D5"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F471F" w14:textId="77777777" w:rsidR="00ED75B5" w:rsidRDefault="00ED75B5" w:rsidP="00190C24">
      <w:r>
        <w:separator/>
      </w:r>
    </w:p>
  </w:footnote>
  <w:footnote w:type="continuationSeparator" w:id="0">
    <w:p w14:paraId="326EEB27" w14:textId="77777777" w:rsidR="00ED75B5" w:rsidRDefault="00ED75B5"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F73" w14:textId="77777777" w:rsidR="00273E87" w:rsidRDefault="00273E87" w:rsidP="00555C3B">
    <w:pPr>
      <w:pStyle w:val="Header"/>
      <w:rPr>
        <w:lang w:val="en-US"/>
      </w:rPr>
    </w:pPr>
  </w:p>
  <w:p w14:paraId="7D6B1C5C" w14:textId="7460375E"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363F19AC" wp14:editId="6B752EC4">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CE1FF2F"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5766"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1E690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3377E7B"/>
    <w:multiLevelType w:val="multilevel"/>
    <w:tmpl w:val="01C8CD0A"/>
    <w:lvl w:ilvl="0">
      <w:start w:val="1"/>
      <w:numFmt w:val="decimal"/>
      <w:pStyle w:val="Heading1"/>
      <w:lvlText w:val="%1."/>
      <w:lvlJc w:val="left"/>
      <w:pPr>
        <w:ind w:left="644" w:hanging="360"/>
      </w:pPr>
    </w:lvl>
    <w:lvl w:ilvl="1">
      <w:start w:val="1"/>
      <w:numFmt w:val="decimal"/>
      <w:pStyle w:val="Heading2"/>
      <w:isLgl/>
      <w:lvlText w:val="%1.%2"/>
      <w:lvlJc w:val="left"/>
      <w:pPr>
        <w:ind w:left="720" w:hanging="720"/>
      </w:pPr>
      <w:rPr>
        <w:rFonts w:hint="default"/>
      </w:rPr>
    </w:lvl>
    <w:lvl w:ilvl="2">
      <w:start w:val="1"/>
      <w:numFmt w:val="decimal"/>
      <w:pStyle w:val="Heading3"/>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2" w15:restartNumberingAfterBreak="0">
    <w:nsid w:val="0CCD4DAA"/>
    <w:multiLevelType w:val="multilevel"/>
    <w:tmpl w:val="59A6B200"/>
    <w:styleLink w:val="ListTableBullet"/>
    <w:lvl w:ilvl="0">
      <w:start w:val="1"/>
      <w:numFmt w:val="bullet"/>
      <w:pStyle w:val="TableBullet"/>
      <w:lvlText w:val=""/>
      <w:lvlJc w:val="left"/>
      <w:pPr>
        <w:tabs>
          <w:tab w:val="num" w:pos="397"/>
        </w:tabs>
        <w:ind w:left="397" w:hanging="284"/>
      </w:pPr>
      <w:rPr>
        <w:rFonts w:ascii="Wingdings" w:hAnsi="Wingdings" w:hint="default"/>
        <w:color w:val="auto"/>
        <w:sz w:val="20"/>
      </w:rPr>
    </w:lvl>
    <w:lvl w:ilvl="1">
      <w:start w:val="1"/>
      <w:numFmt w:val="bullet"/>
      <w:pStyle w:val="TableBullet2"/>
      <w:lvlText w:val="–"/>
      <w:lvlJc w:val="left"/>
      <w:pPr>
        <w:tabs>
          <w:tab w:val="num" w:pos="680"/>
        </w:tabs>
        <w:ind w:left="680" w:hanging="283"/>
      </w:pPr>
      <w:rPr>
        <w:rFonts w:ascii="Arial" w:hAnsi="Arial" w:cs="Times New Roman" w:hint="default"/>
        <w:color w:val="auto"/>
        <w:sz w:val="20"/>
      </w:rPr>
    </w:lvl>
    <w:lvl w:ilvl="2">
      <w:start w:val="1"/>
      <w:numFmt w:val="none"/>
      <w:lvlText w:val=""/>
      <w:lvlJc w:val="left"/>
      <w:pPr>
        <w:ind w:left="-32767" w:firstLine="0"/>
      </w:pPr>
      <w:rPr>
        <w:color w:val="000000"/>
      </w:rPr>
    </w:lvl>
    <w:lvl w:ilvl="3">
      <w:start w:val="1"/>
      <w:numFmt w:val="none"/>
      <w:lvlText w:val="%4"/>
      <w:lvlJc w:val="left"/>
      <w:pPr>
        <w:ind w:left="-32767" w:firstLine="0"/>
      </w:pPr>
    </w:lvl>
    <w:lvl w:ilvl="4">
      <w:start w:val="1"/>
      <w:numFmt w:val="none"/>
      <w:lvlText w:val=""/>
      <w:lvlJc w:val="left"/>
      <w:pPr>
        <w:ind w:left="-32767" w:firstLine="0"/>
      </w:pPr>
      <w:rPr>
        <w:color w:val="000000"/>
      </w:rPr>
    </w:lvl>
    <w:lvl w:ilvl="5">
      <w:start w:val="1"/>
      <w:numFmt w:val="none"/>
      <w:lvlText w:val=""/>
      <w:lvlJc w:val="left"/>
      <w:pPr>
        <w:ind w:left="-32767" w:firstLine="0"/>
      </w:pPr>
    </w:lvl>
    <w:lvl w:ilvl="6">
      <w:start w:val="1"/>
      <w:numFmt w:val="none"/>
      <w:lvlText w:val=""/>
      <w:lvlJc w:val="left"/>
      <w:pPr>
        <w:ind w:left="-32767" w:firstLine="0"/>
      </w:pPr>
      <w:rPr>
        <w:color w:val="000000"/>
      </w:rPr>
    </w:lvl>
    <w:lvl w:ilvl="7">
      <w:start w:val="1"/>
      <w:numFmt w:val="none"/>
      <w:lvlText w:val="%8"/>
      <w:lvlJc w:val="left"/>
      <w:pPr>
        <w:ind w:left="-32767" w:firstLine="0"/>
      </w:pPr>
    </w:lvl>
    <w:lvl w:ilvl="8">
      <w:start w:val="1"/>
      <w:numFmt w:val="none"/>
      <w:lvlText w:val=""/>
      <w:lvlJc w:val="left"/>
      <w:pPr>
        <w:ind w:left="-32767" w:firstLine="0"/>
      </w:pPr>
      <w:rPr>
        <w:color w:val="000000"/>
      </w:rPr>
    </w:lvl>
  </w:abstractNum>
  <w:abstractNum w:abstractNumId="3" w15:restartNumberingAfterBreak="0">
    <w:nsid w:val="0FF4245D"/>
    <w:multiLevelType w:val="hybridMultilevel"/>
    <w:tmpl w:val="6004D326"/>
    <w:lvl w:ilvl="0" w:tplc="0C090001">
      <w:start w:val="1"/>
      <w:numFmt w:val="bullet"/>
      <w:lvlText w:val=""/>
      <w:lvlJc w:val="left"/>
      <w:pPr>
        <w:ind w:left="720" w:hanging="360"/>
      </w:pPr>
      <w:rPr>
        <w:rFonts w:ascii="Symbol" w:hAnsi="Symbol" w:hint="default"/>
      </w:rPr>
    </w:lvl>
    <w:lvl w:ilvl="1" w:tplc="36B2A69A">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FC11C5"/>
    <w:multiLevelType w:val="multilevel"/>
    <w:tmpl w:val="E846872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5" w15:restartNumberingAfterBreak="0">
    <w:nsid w:val="27DF5D94"/>
    <w:multiLevelType w:val="hybridMultilevel"/>
    <w:tmpl w:val="005E64B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8CF5632"/>
    <w:multiLevelType w:val="multilevel"/>
    <w:tmpl w:val="1CFAF4BA"/>
    <w:lvl w:ilvl="0">
      <w:start w:val="1"/>
      <w:numFmt w:val="decimal"/>
      <w:pStyle w:val="ListNumber"/>
      <w:lvlText w:val="%1."/>
      <w:lvlJc w:val="left"/>
      <w:pPr>
        <w:ind w:left="2145" w:hanging="360"/>
      </w:pPr>
      <w:rPr>
        <w:b w:val="0"/>
        <w:i w:val="0"/>
        <w:strike w:val="0"/>
        <w:dstrike w:val="0"/>
        <w:sz w:val="20"/>
        <w:u w:val="none"/>
        <w:effect w:val="none"/>
      </w:rPr>
    </w:lvl>
    <w:lvl w:ilvl="1">
      <w:start w:val="1"/>
      <w:numFmt w:val="lowerLetter"/>
      <w:lvlText w:val="%2)"/>
      <w:lvlJc w:val="left"/>
      <w:pPr>
        <w:ind w:left="2505" w:hanging="360"/>
      </w:pPr>
    </w:lvl>
    <w:lvl w:ilvl="2">
      <w:start w:val="1"/>
      <w:numFmt w:val="lowerRoman"/>
      <w:lvlText w:val="%3)"/>
      <w:lvlJc w:val="left"/>
      <w:pPr>
        <w:ind w:left="2865" w:hanging="360"/>
      </w:pPr>
    </w:lvl>
    <w:lvl w:ilvl="3">
      <w:start w:val="1"/>
      <w:numFmt w:val="decimal"/>
      <w:lvlText w:val="(%4)"/>
      <w:lvlJc w:val="left"/>
      <w:pPr>
        <w:ind w:left="3225" w:hanging="360"/>
      </w:pPr>
    </w:lvl>
    <w:lvl w:ilvl="4">
      <w:start w:val="1"/>
      <w:numFmt w:val="lowerLetter"/>
      <w:lvlText w:val="(%5)"/>
      <w:lvlJc w:val="left"/>
      <w:pPr>
        <w:ind w:left="3585" w:hanging="360"/>
      </w:pPr>
    </w:lvl>
    <w:lvl w:ilvl="5">
      <w:start w:val="1"/>
      <w:numFmt w:val="lowerRoman"/>
      <w:lvlText w:val="(%6)"/>
      <w:lvlJc w:val="left"/>
      <w:pPr>
        <w:ind w:left="3945" w:hanging="360"/>
      </w:pPr>
    </w:lvl>
    <w:lvl w:ilvl="6">
      <w:start w:val="1"/>
      <w:numFmt w:val="decimal"/>
      <w:lvlText w:val="%7."/>
      <w:lvlJc w:val="left"/>
      <w:pPr>
        <w:ind w:left="4305" w:hanging="360"/>
      </w:pPr>
    </w:lvl>
    <w:lvl w:ilvl="7">
      <w:start w:val="1"/>
      <w:numFmt w:val="lowerLetter"/>
      <w:lvlText w:val="%8."/>
      <w:lvlJc w:val="left"/>
      <w:pPr>
        <w:ind w:left="4665" w:hanging="360"/>
      </w:pPr>
    </w:lvl>
    <w:lvl w:ilvl="8">
      <w:start w:val="1"/>
      <w:numFmt w:val="lowerRoman"/>
      <w:lvlText w:val="%9."/>
      <w:lvlJc w:val="left"/>
      <w:pPr>
        <w:ind w:left="5025" w:hanging="360"/>
      </w:pPr>
    </w:lvl>
  </w:abstractNum>
  <w:abstractNum w:abstractNumId="7"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E1C21"/>
    <w:multiLevelType w:val="hybridMultilevel"/>
    <w:tmpl w:val="1A08FEB0"/>
    <w:lvl w:ilvl="0" w:tplc="9EB88A22">
      <w:start w:val="1"/>
      <w:numFmt w:val="bullet"/>
      <w:pStyle w:val="TableListBullet"/>
      <w:lvlText w:val="»"/>
      <w:lvlJc w:val="left"/>
      <w:pPr>
        <w:ind w:left="360" w:hanging="360"/>
      </w:pPr>
      <w:rPr>
        <w:rFonts w:ascii="Arial" w:hAnsi="Arial" w:cs="Times New Roman" w:hint="default"/>
        <w:color w:val="70AD47" w:themeColor="accent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3D97821"/>
    <w:multiLevelType w:val="multilevel"/>
    <w:tmpl w:val="78749CB6"/>
    <w:lvl w:ilvl="0">
      <w:start w:val="1"/>
      <w:numFmt w:val="decimal"/>
      <w:pStyle w:val="NbrHeading1"/>
      <w:lvlText w:val="%1"/>
      <w:lvlJc w:val="left"/>
      <w:pPr>
        <w:tabs>
          <w:tab w:val="num" w:pos="1134"/>
        </w:tabs>
        <w:ind w:left="1134" w:hanging="1134"/>
      </w:pPr>
      <w:rPr>
        <w:rFonts w:asciiTheme="majorHAnsi" w:hAnsiTheme="majorHAnsi" w:cs="Times New Roman" w:hint="default"/>
        <w:color w:val="auto"/>
      </w:rPr>
    </w:lvl>
    <w:lvl w:ilvl="1">
      <w:start w:val="1"/>
      <w:numFmt w:val="decimal"/>
      <w:pStyle w:val="NbrHeading2"/>
      <w:lvlText w:val="%1.%2"/>
      <w:lvlJc w:val="left"/>
      <w:pPr>
        <w:tabs>
          <w:tab w:val="num" w:pos="1134"/>
        </w:tabs>
        <w:ind w:left="1134" w:hanging="1134"/>
      </w:pPr>
      <w:rPr>
        <w:rFonts w:asciiTheme="majorHAnsi" w:hAnsiTheme="majorHAnsi" w:cs="Times New Roman" w:hint="default"/>
        <w:color w:val="C45911" w:themeColor="accent2" w:themeShade="BF"/>
      </w:rPr>
    </w:lvl>
    <w:lvl w:ilvl="2">
      <w:start w:val="1"/>
      <w:numFmt w:val="decimal"/>
      <w:pStyle w:val="NbrHeading3"/>
      <w:lvlText w:val="%1.%2.%3"/>
      <w:lvlJc w:val="left"/>
      <w:pPr>
        <w:tabs>
          <w:tab w:val="num" w:pos="1134"/>
        </w:tabs>
        <w:ind w:left="1134" w:hanging="1134"/>
      </w:pPr>
      <w:rPr>
        <w:rFonts w:asciiTheme="majorHAnsi" w:hAnsiTheme="majorHAnsi" w:cs="Times New Roman" w:hint="default"/>
        <w:color w:val="C45911" w:themeColor="accent2" w:themeShade="BF"/>
      </w:rPr>
    </w:lvl>
    <w:lvl w:ilvl="3">
      <w:start w:val="1"/>
      <w:numFmt w:val="decimal"/>
      <w:pStyle w:val="NbrHeading4"/>
      <w:lvlText w:val="%1.%2.%3.%4"/>
      <w:lvlJc w:val="left"/>
      <w:pPr>
        <w:tabs>
          <w:tab w:val="num" w:pos="1134"/>
        </w:tabs>
        <w:ind w:left="1134" w:hanging="1134"/>
      </w:pPr>
      <w:rPr>
        <w:rFonts w:asciiTheme="majorHAnsi" w:hAnsiTheme="majorHAnsi" w:cs="Times New Roman" w:hint="default"/>
        <w:color w:val="C45911" w:themeColor="accent2" w:themeShade="BF"/>
        <w:sz w:val="24"/>
      </w:rPr>
    </w:lvl>
    <w:lvl w:ilvl="4">
      <w:start w:val="1"/>
      <w:numFmt w:val="decimal"/>
      <w:pStyle w:val="NbrHeading5"/>
      <w:lvlText w:val="%1.%2.%3.%4.%5"/>
      <w:lvlJc w:val="left"/>
      <w:pPr>
        <w:tabs>
          <w:tab w:val="num" w:pos="1134"/>
        </w:tabs>
        <w:ind w:left="1134" w:hanging="1134"/>
      </w:pPr>
      <w:rPr>
        <w:rFonts w:asciiTheme="majorHAnsi" w:hAnsiTheme="majorHAnsi" w:cs="Times New Roman" w:hint="default"/>
        <w:color w:val="C45911" w:themeColor="accent2" w:themeShade="BF"/>
        <w:sz w:val="22"/>
      </w:rPr>
    </w:lvl>
    <w:lvl w:ilvl="5">
      <w:start w:val="1"/>
      <w:numFmt w:val="none"/>
      <w:lvlText w:val=""/>
      <w:lvlJc w:val="left"/>
      <w:pPr>
        <w:tabs>
          <w:tab w:val="num" w:pos="1134"/>
        </w:tabs>
        <w:ind w:left="1134" w:hanging="1134"/>
      </w:pPr>
    </w:lvl>
    <w:lvl w:ilvl="6">
      <w:start w:val="1"/>
      <w:numFmt w:val="none"/>
      <w:lvlRestart w:val="1"/>
      <w:suff w:val="nothing"/>
      <w:lvlText w:val=""/>
      <w:lvlJc w:val="left"/>
      <w:pPr>
        <w:ind w:left="1134" w:hanging="1134"/>
      </w:pPr>
    </w:lvl>
    <w:lvl w:ilvl="7">
      <w:start w:val="1"/>
      <w:numFmt w:val="none"/>
      <w:suff w:val="nothing"/>
      <w:lvlText w:val=""/>
      <w:lvlJc w:val="left"/>
      <w:pPr>
        <w:ind w:left="1134" w:hanging="1134"/>
      </w:pPr>
    </w:lvl>
    <w:lvl w:ilvl="8">
      <w:start w:val="1"/>
      <w:numFmt w:val="none"/>
      <w:suff w:val="space"/>
      <w:lvlText w:val=""/>
      <w:lvlJc w:val="left"/>
      <w:pPr>
        <w:ind w:left="1134" w:hanging="1134"/>
      </w:pPr>
    </w:lvl>
  </w:abstractNum>
  <w:abstractNum w:abstractNumId="10" w15:restartNumberingAfterBreak="0">
    <w:nsid w:val="62C906D1"/>
    <w:multiLevelType w:val="hybridMultilevel"/>
    <w:tmpl w:val="B1603A56"/>
    <w:lvl w:ilvl="0" w:tplc="FFFFFFFF">
      <w:start w:val="1"/>
      <w:numFmt w:val="bullet"/>
      <w:lvlText w:val=""/>
      <w:lvlJc w:val="left"/>
      <w:pPr>
        <w:ind w:left="720" w:hanging="360"/>
      </w:pPr>
      <w:rPr>
        <w:rFonts w:ascii="Symbol" w:hAnsi="Symbol" w:hint="default"/>
      </w:rPr>
    </w:lvl>
    <w:lvl w:ilvl="1" w:tplc="36B2A69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DA388F"/>
    <w:multiLevelType w:val="hybridMultilevel"/>
    <w:tmpl w:val="30EAF416"/>
    <w:lvl w:ilvl="0" w:tplc="749272C2">
      <w:start w:val="1"/>
      <w:numFmt w:val="bullet"/>
      <w:pStyle w:val="TableListBullet2"/>
      <w:lvlText w:val="–"/>
      <w:lvlJc w:val="left"/>
      <w:pPr>
        <w:ind w:left="717" w:hanging="360"/>
      </w:pPr>
      <w:rPr>
        <w:rFonts w:ascii="Arial" w:hAnsi="Arial" w:cs="Times New Roman" w:hint="default"/>
        <w:b w:val="0"/>
        <w:i w:val="0"/>
        <w:sz w:val="20"/>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2" w15:restartNumberingAfterBreak="0">
    <w:nsid w:val="7FED7A34"/>
    <w:multiLevelType w:val="hybridMultilevel"/>
    <w:tmpl w:val="04A8FC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4690506">
    <w:abstractNumId w:val="7"/>
  </w:num>
  <w:num w:numId="2" w16cid:durableId="507333452">
    <w:abstractNumId w:val="1"/>
  </w:num>
  <w:num w:numId="3" w16cid:durableId="737050295">
    <w:abstractNumId w:val="3"/>
  </w:num>
  <w:num w:numId="4" w16cid:durableId="305553080">
    <w:abstractNumId w:val="0"/>
  </w:num>
  <w:num w:numId="5" w16cid:durableId="2321404">
    <w:abstractNumId w:val="12"/>
  </w:num>
  <w:num w:numId="6" w16cid:durableId="193151418">
    <w:abstractNumId w:val="11"/>
  </w:num>
  <w:num w:numId="7" w16cid:durableId="1004162560">
    <w:abstractNumId w:val="8"/>
  </w:num>
  <w:num w:numId="8" w16cid:durableId="756168112">
    <w:abstractNumId w:val="10"/>
  </w:num>
  <w:num w:numId="9" w16cid:durableId="10256685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2386714">
    <w:abstractNumId w:val="2"/>
  </w:num>
  <w:num w:numId="11" w16cid:durableId="820756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2157507">
    <w:abstractNumId w:val="5"/>
  </w:num>
  <w:num w:numId="13" w16cid:durableId="118961122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2B"/>
    <w:rsid w:val="00003124"/>
    <w:rsid w:val="000040B0"/>
    <w:rsid w:val="00005D37"/>
    <w:rsid w:val="00007985"/>
    <w:rsid w:val="0002155B"/>
    <w:rsid w:val="000425F7"/>
    <w:rsid w:val="000436FC"/>
    <w:rsid w:val="00043BC2"/>
    <w:rsid w:val="00052183"/>
    <w:rsid w:val="00052429"/>
    <w:rsid w:val="0005471A"/>
    <w:rsid w:val="00066BD6"/>
    <w:rsid w:val="00066E58"/>
    <w:rsid w:val="0008466B"/>
    <w:rsid w:val="000A4767"/>
    <w:rsid w:val="000A6E88"/>
    <w:rsid w:val="000B2F6B"/>
    <w:rsid w:val="000B61AC"/>
    <w:rsid w:val="000C29CC"/>
    <w:rsid w:val="000C48D8"/>
    <w:rsid w:val="000C6874"/>
    <w:rsid w:val="000D441F"/>
    <w:rsid w:val="000E1223"/>
    <w:rsid w:val="000F20BA"/>
    <w:rsid w:val="000F3E1F"/>
    <w:rsid w:val="000F4E58"/>
    <w:rsid w:val="000F705A"/>
    <w:rsid w:val="000F7FDE"/>
    <w:rsid w:val="001000FC"/>
    <w:rsid w:val="00101904"/>
    <w:rsid w:val="0011122C"/>
    <w:rsid w:val="0011160F"/>
    <w:rsid w:val="001206C4"/>
    <w:rsid w:val="001222EA"/>
    <w:rsid w:val="001226C2"/>
    <w:rsid w:val="00134A1F"/>
    <w:rsid w:val="00134EFF"/>
    <w:rsid w:val="00136A47"/>
    <w:rsid w:val="00141A90"/>
    <w:rsid w:val="0014521E"/>
    <w:rsid w:val="0014561E"/>
    <w:rsid w:val="00153F2C"/>
    <w:rsid w:val="00156451"/>
    <w:rsid w:val="001604D2"/>
    <w:rsid w:val="00167945"/>
    <w:rsid w:val="001729A9"/>
    <w:rsid w:val="00183A64"/>
    <w:rsid w:val="00190C24"/>
    <w:rsid w:val="00191197"/>
    <w:rsid w:val="0019681D"/>
    <w:rsid w:val="00196B09"/>
    <w:rsid w:val="001A2D1E"/>
    <w:rsid w:val="001B04AD"/>
    <w:rsid w:val="001C11D2"/>
    <w:rsid w:val="001C25F9"/>
    <w:rsid w:val="001C43F0"/>
    <w:rsid w:val="001D290C"/>
    <w:rsid w:val="001D3CCD"/>
    <w:rsid w:val="001E549B"/>
    <w:rsid w:val="001E70E9"/>
    <w:rsid w:val="001F1452"/>
    <w:rsid w:val="001F2B12"/>
    <w:rsid w:val="001F3A36"/>
    <w:rsid w:val="001F7B06"/>
    <w:rsid w:val="0020495F"/>
    <w:rsid w:val="00211A10"/>
    <w:rsid w:val="00227C27"/>
    <w:rsid w:val="002351B0"/>
    <w:rsid w:val="002371F7"/>
    <w:rsid w:val="0024081A"/>
    <w:rsid w:val="0024520B"/>
    <w:rsid w:val="00246F2E"/>
    <w:rsid w:val="00252269"/>
    <w:rsid w:val="00257F89"/>
    <w:rsid w:val="00262886"/>
    <w:rsid w:val="00267C48"/>
    <w:rsid w:val="002706E8"/>
    <w:rsid w:val="002710E9"/>
    <w:rsid w:val="00273E87"/>
    <w:rsid w:val="00287966"/>
    <w:rsid w:val="002B029B"/>
    <w:rsid w:val="002B15E5"/>
    <w:rsid w:val="002B5219"/>
    <w:rsid w:val="002B5451"/>
    <w:rsid w:val="002B7607"/>
    <w:rsid w:val="002C3A02"/>
    <w:rsid w:val="002C47FC"/>
    <w:rsid w:val="002C6173"/>
    <w:rsid w:val="002C64E6"/>
    <w:rsid w:val="002D2169"/>
    <w:rsid w:val="002D2D4F"/>
    <w:rsid w:val="002D6124"/>
    <w:rsid w:val="002E1B2E"/>
    <w:rsid w:val="002E2EAC"/>
    <w:rsid w:val="002E3E34"/>
    <w:rsid w:val="002F78A2"/>
    <w:rsid w:val="00320670"/>
    <w:rsid w:val="00323966"/>
    <w:rsid w:val="00324D13"/>
    <w:rsid w:val="003267DF"/>
    <w:rsid w:val="00332EEC"/>
    <w:rsid w:val="00337EAA"/>
    <w:rsid w:val="00350DB8"/>
    <w:rsid w:val="00352363"/>
    <w:rsid w:val="00355E78"/>
    <w:rsid w:val="003758EE"/>
    <w:rsid w:val="0038096F"/>
    <w:rsid w:val="003830C9"/>
    <w:rsid w:val="00385A56"/>
    <w:rsid w:val="00386053"/>
    <w:rsid w:val="0039660F"/>
    <w:rsid w:val="00396D5E"/>
    <w:rsid w:val="003975D2"/>
    <w:rsid w:val="003A7110"/>
    <w:rsid w:val="003B1D95"/>
    <w:rsid w:val="003B361F"/>
    <w:rsid w:val="003C33FE"/>
    <w:rsid w:val="003C632B"/>
    <w:rsid w:val="003D073A"/>
    <w:rsid w:val="003D2DB3"/>
    <w:rsid w:val="003D33F7"/>
    <w:rsid w:val="003D540F"/>
    <w:rsid w:val="003D6811"/>
    <w:rsid w:val="003E00CD"/>
    <w:rsid w:val="003E38E6"/>
    <w:rsid w:val="003E4E08"/>
    <w:rsid w:val="003E5C52"/>
    <w:rsid w:val="003F52D7"/>
    <w:rsid w:val="003F643A"/>
    <w:rsid w:val="00402CFC"/>
    <w:rsid w:val="00403EF1"/>
    <w:rsid w:val="00404BCA"/>
    <w:rsid w:val="00405C25"/>
    <w:rsid w:val="00411E5B"/>
    <w:rsid w:val="0041475E"/>
    <w:rsid w:val="00416A49"/>
    <w:rsid w:val="004210FF"/>
    <w:rsid w:val="00423C50"/>
    <w:rsid w:val="00435AC1"/>
    <w:rsid w:val="0043690A"/>
    <w:rsid w:val="004372AE"/>
    <w:rsid w:val="00441A01"/>
    <w:rsid w:val="00442FE1"/>
    <w:rsid w:val="004468D2"/>
    <w:rsid w:val="004562DA"/>
    <w:rsid w:val="00472E3A"/>
    <w:rsid w:val="00476A07"/>
    <w:rsid w:val="00486F3A"/>
    <w:rsid w:val="0049066C"/>
    <w:rsid w:val="004A3EFD"/>
    <w:rsid w:val="004A5E19"/>
    <w:rsid w:val="004C4EE0"/>
    <w:rsid w:val="004C508A"/>
    <w:rsid w:val="004C62ED"/>
    <w:rsid w:val="004D0D9F"/>
    <w:rsid w:val="004D5FE1"/>
    <w:rsid w:val="004E5A25"/>
    <w:rsid w:val="004E62A1"/>
    <w:rsid w:val="004F0DDF"/>
    <w:rsid w:val="004F6768"/>
    <w:rsid w:val="00510317"/>
    <w:rsid w:val="005139C7"/>
    <w:rsid w:val="00521234"/>
    <w:rsid w:val="00537A4A"/>
    <w:rsid w:val="00540992"/>
    <w:rsid w:val="00543A32"/>
    <w:rsid w:val="00543B22"/>
    <w:rsid w:val="00545E7E"/>
    <w:rsid w:val="00545E9A"/>
    <w:rsid w:val="00555585"/>
    <w:rsid w:val="0055582F"/>
    <w:rsid w:val="00555C3B"/>
    <w:rsid w:val="00561339"/>
    <w:rsid w:val="005625E4"/>
    <w:rsid w:val="00567FAA"/>
    <w:rsid w:val="005704BD"/>
    <w:rsid w:val="00570EFC"/>
    <w:rsid w:val="005800AD"/>
    <w:rsid w:val="00582AB6"/>
    <w:rsid w:val="00586184"/>
    <w:rsid w:val="00586D98"/>
    <w:rsid w:val="00592E8B"/>
    <w:rsid w:val="005A0C75"/>
    <w:rsid w:val="005A1334"/>
    <w:rsid w:val="005A2762"/>
    <w:rsid w:val="005A28EB"/>
    <w:rsid w:val="005B0EC5"/>
    <w:rsid w:val="005B60BD"/>
    <w:rsid w:val="005B79A8"/>
    <w:rsid w:val="005C1B5D"/>
    <w:rsid w:val="005C4B83"/>
    <w:rsid w:val="005C68D9"/>
    <w:rsid w:val="005E4936"/>
    <w:rsid w:val="005F1B18"/>
    <w:rsid w:val="005F4331"/>
    <w:rsid w:val="005F7E6D"/>
    <w:rsid w:val="00604A59"/>
    <w:rsid w:val="006127DC"/>
    <w:rsid w:val="0061604A"/>
    <w:rsid w:val="0062040F"/>
    <w:rsid w:val="00621B6E"/>
    <w:rsid w:val="00623954"/>
    <w:rsid w:val="006239A5"/>
    <w:rsid w:val="00636B71"/>
    <w:rsid w:val="006420CC"/>
    <w:rsid w:val="00642546"/>
    <w:rsid w:val="006467D0"/>
    <w:rsid w:val="006467F6"/>
    <w:rsid w:val="00646AE8"/>
    <w:rsid w:val="00654AEA"/>
    <w:rsid w:val="0066410C"/>
    <w:rsid w:val="006678DC"/>
    <w:rsid w:val="00672747"/>
    <w:rsid w:val="006811B6"/>
    <w:rsid w:val="006862A5"/>
    <w:rsid w:val="006A1D04"/>
    <w:rsid w:val="006A4A91"/>
    <w:rsid w:val="006C1ADC"/>
    <w:rsid w:val="006C3D6C"/>
    <w:rsid w:val="006C3D8E"/>
    <w:rsid w:val="006D3BF1"/>
    <w:rsid w:val="006E374A"/>
    <w:rsid w:val="006F0011"/>
    <w:rsid w:val="006F1B8A"/>
    <w:rsid w:val="00717D8C"/>
    <w:rsid w:val="00720B23"/>
    <w:rsid w:val="007274E7"/>
    <w:rsid w:val="00731D5A"/>
    <w:rsid w:val="00731ED1"/>
    <w:rsid w:val="00734118"/>
    <w:rsid w:val="007360C6"/>
    <w:rsid w:val="00737219"/>
    <w:rsid w:val="007412D2"/>
    <w:rsid w:val="007475B8"/>
    <w:rsid w:val="00782C56"/>
    <w:rsid w:val="00784BE2"/>
    <w:rsid w:val="007854A4"/>
    <w:rsid w:val="0079069E"/>
    <w:rsid w:val="00792FC7"/>
    <w:rsid w:val="007964B4"/>
    <w:rsid w:val="007A6626"/>
    <w:rsid w:val="007B1754"/>
    <w:rsid w:val="007B186F"/>
    <w:rsid w:val="007B4E7E"/>
    <w:rsid w:val="007B589C"/>
    <w:rsid w:val="007C13E3"/>
    <w:rsid w:val="007C17D8"/>
    <w:rsid w:val="007C2ED3"/>
    <w:rsid w:val="007D023E"/>
    <w:rsid w:val="007D0BEA"/>
    <w:rsid w:val="007D10C5"/>
    <w:rsid w:val="007D3462"/>
    <w:rsid w:val="007E321C"/>
    <w:rsid w:val="007F0BF8"/>
    <w:rsid w:val="0080579A"/>
    <w:rsid w:val="00814E75"/>
    <w:rsid w:val="008166BC"/>
    <w:rsid w:val="008171D4"/>
    <w:rsid w:val="0083235D"/>
    <w:rsid w:val="00834179"/>
    <w:rsid w:val="0083610F"/>
    <w:rsid w:val="0084602D"/>
    <w:rsid w:val="00852BD5"/>
    <w:rsid w:val="008539F2"/>
    <w:rsid w:val="00855277"/>
    <w:rsid w:val="008615E7"/>
    <w:rsid w:val="00861E6C"/>
    <w:rsid w:val="00864110"/>
    <w:rsid w:val="008641E2"/>
    <w:rsid w:val="00870732"/>
    <w:rsid w:val="00870F9E"/>
    <w:rsid w:val="00872EE3"/>
    <w:rsid w:val="0088002B"/>
    <w:rsid w:val="00882017"/>
    <w:rsid w:val="00883BFE"/>
    <w:rsid w:val="00886CF4"/>
    <w:rsid w:val="00887A49"/>
    <w:rsid w:val="008A41D8"/>
    <w:rsid w:val="008A4FA7"/>
    <w:rsid w:val="008A79A9"/>
    <w:rsid w:val="008A7AFC"/>
    <w:rsid w:val="008B474E"/>
    <w:rsid w:val="008E0A0D"/>
    <w:rsid w:val="008F6C4C"/>
    <w:rsid w:val="008F7DC9"/>
    <w:rsid w:val="00903C5F"/>
    <w:rsid w:val="00906814"/>
    <w:rsid w:val="00907963"/>
    <w:rsid w:val="00907B78"/>
    <w:rsid w:val="009150B0"/>
    <w:rsid w:val="0091638B"/>
    <w:rsid w:val="009222D8"/>
    <w:rsid w:val="0092290D"/>
    <w:rsid w:val="0092497A"/>
    <w:rsid w:val="009308AB"/>
    <w:rsid w:val="00931647"/>
    <w:rsid w:val="00936613"/>
    <w:rsid w:val="0094041B"/>
    <w:rsid w:val="00941A52"/>
    <w:rsid w:val="00956995"/>
    <w:rsid w:val="0096078C"/>
    <w:rsid w:val="00961A58"/>
    <w:rsid w:val="009647EE"/>
    <w:rsid w:val="0096595E"/>
    <w:rsid w:val="009659AB"/>
    <w:rsid w:val="00967218"/>
    <w:rsid w:val="00973B0B"/>
    <w:rsid w:val="0099406D"/>
    <w:rsid w:val="009A5056"/>
    <w:rsid w:val="009A6215"/>
    <w:rsid w:val="009A7275"/>
    <w:rsid w:val="009B4A3B"/>
    <w:rsid w:val="009B4C32"/>
    <w:rsid w:val="009B7893"/>
    <w:rsid w:val="009C01D8"/>
    <w:rsid w:val="009C18E0"/>
    <w:rsid w:val="009C2FC1"/>
    <w:rsid w:val="009C3423"/>
    <w:rsid w:val="009C4075"/>
    <w:rsid w:val="009C444F"/>
    <w:rsid w:val="009E5EE5"/>
    <w:rsid w:val="009E6AA2"/>
    <w:rsid w:val="009F02B3"/>
    <w:rsid w:val="009F1325"/>
    <w:rsid w:val="009F581F"/>
    <w:rsid w:val="009F6EE7"/>
    <w:rsid w:val="00A15743"/>
    <w:rsid w:val="00A20107"/>
    <w:rsid w:val="00A25384"/>
    <w:rsid w:val="00A25FB3"/>
    <w:rsid w:val="00A3522C"/>
    <w:rsid w:val="00A3630C"/>
    <w:rsid w:val="00A36618"/>
    <w:rsid w:val="00A36FBC"/>
    <w:rsid w:val="00A37A8D"/>
    <w:rsid w:val="00A4082D"/>
    <w:rsid w:val="00A40883"/>
    <w:rsid w:val="00A41EDA"/>
    <w:rsid w:val="00A46A07"/>
    <w:rsid w:val="00A47F67"/>
    <w:rsid w:val="00A545F8"/>
    <w:rsid w:val="00A54FA0"/>
    <w:rsid w:val="00A5751A"/>
    <w:rsid w:val="00A57728"/>
    <w:rsid w:val="00A65710"/>
    <w:rsid w:val="00A70BBA"/>
    <w:rsid w:val="00A71F3E"/>
    <w:rsid w:val="00A84530"/>
    <w:rsid w:val="00A86680"/>
    <w:rsid w:val="00A93CC3"/>
    <w:rsid w:val="00AA73BD"/>
    <w:rsid w:val="00AA7BAD"/>
    <w:rsid w:val="00AB0A25"/>
    <w:rsid w:val="00AC4E79"/>
    <w:rsid w:val="00AC555D"/>
    <w:rsid w:val="00AD2501"/>
    <w:rsid w:val="00AD5F26"/>
    <w:rsid w:val="00AE022D"/>
    <w:rsid w:val="00AF58FC"/>
    <w:rsid w:val="00AF7DD9"/>
    <w:rsid w:val="00B04635"/>
    <w:rsid w:val="00B2314B"/>
    <w:rsid w:val="00B26E91"/>
    <w:rsid w:val="00B30EA8"/>
    <w:rsid w:val="00B33337"/>
    <w:rsid w:val="00B339BD"/>
    <w:rsid w:val="00B33B44"/>
    <w:rsid w:val="00B477C2"/>
    <w:rsid w:val="00B54564"/>
    <w:rsid w:val="00B600C2"/>
    <w:rsid w:val="00B613E4"/>
    <w:rsid w:val="00B62F52"/>
    <w:rsid w:val="00B631D6"/>
    <w:rsid w:val="00B639CA"/>
    <w:rsid w:val="00B70170"/>
    <w:rsid w:val="00B73B63"/>
    <w:rsid w:val="00B801D5"/>
    <w:rsid w:val="00B81D6C"/>
    <w:rsid w:val="00B8417F"/>
    <w:rsid w:val="00B8699D"/>
    <w:rsid w:val="00B934E9"/>
    <w:rsid w:val="00B9421F"/>
    <w:rsid w:val="00B9771E"/>
    <w:rsid w:val="00BA2F54"/>
    <w:rsid w:val="00BA6AEC"/>
    <w:rsid w:val="00BB72E5"/>
    <w:rsid w:val="00BC4AA9"/>
    <w:rsid w:val="00BC5876"/>
    <w:rsid w:val="00BC6556"/>
    <w:rsid w:val="00BD0F68"/>
    <w:rsid w:val="00BD277C"/>
    <w:rsid w:val="00BD2974"/>
    <w:rsid w:val="00BF58F2"/>
    <w:rsid w:val="00C07E26"/>
    <w:rsid w:val="00C12777"/>
    <w:rsid w:val="00C15AFC"/>
    <w:rsid w:val="00C228F8"/>
    <w:rsid w:val="00C31759"/>
    <w:rsid w:val="00C3303B"/>
    <w:rsid w:val="00C33A93"/>
    <w:rsid w:val="00C43810"/>
    <w:rsid w:val="00C46641"/>
    <w:rsid w:val="00C51A70"/>
    <w:rsid w:val="00C51AF4"/>
    <w:rsid w:val="00C51D08"/>
    <w:rsid w:val="00C52450"/>
    <w:rsid w:val="00C5766B"/>
    <w:rsid w:val="00C65501"/>
    <w:rsid w:val="00C6694B"/>
    <w:rsid w:val="00C70A2A"/>
    <w:rsid w:val="00C75C2F"/>
    <w:rsid w:val="00CA08A9"/>
    <w:rsid w:val="00CA66DC"/>
    <w:rsid w:val="00CB07AD"/>
    <w:rsid w:val="00CB609F"/>
    <w:rsid w:val="00CC400F"/>
    <w:rsid w:val="00CC4D5D"/>
    <w:rsid w:val="00CC7632"/>
    <w:rsid w:val="00CD3026"/>
    <w:rsid w:val="00CD3904"/>
    <w:rsid w:val="00CD57A1"/>
    <w:rsid w:val="00CD793C"/>
    <w:rsid w:val="00CE08CC"/>
    <w:rsid w:val="00CF6713"/>
    <w:rsid w:val="00CF68D0"/>
    <w:rsid w:val="00CF7F84"/>
    <w:rsid w:val="00D01CD2"/>
    <w:rsid w:val="00D0287A"/>
    <w:rsid w:val="00D13431"/>
    <w:rsid w:val="00D1707E"/>
    <w:rsid w:val="00D17E6A"/>
    <w:rsid w:val="00D17E7D"/>
    <w:rsid w:val="00D23470"/>
    <w:rsid w:val="00D40249"/>
    <w:rsid w:val="00D412BA"/>
    <w:rsid w:val="00D415AF"/>
    <w:rsid w:val="00D44EF3"/>
    <w:rsid w:val="00D50BB1"/>
    <w:rsid w:val="00D515DE"/>
    <w:rsid w:val="00D71822"/>
    <w:rsid w:val="00D75050"/>
    <w:rsid w:val="00D7762E"/>
    <w:rsid w:val="00D842DF"/>
    <w:rsid w:val="00D931AD"/>
    <w:rsid w:val="00D94442"/>
    <w:rsid w:val="00DA35E2"/>
    <w:rsid w:val="00DA377C"/>
    <w:rsid w:val="00DC5E03"/>
    <w:rsid w:val="00DC7BE5"/>
    <w:rsid w:val="00DD5415"/>
    <w:rsid w:val="00DD5973"/>
    <w:rsid w:val="00DE04A7"/>
    <w:rsid w:val="00DE1E49"/>
    <w:rsid w:val="00DF17AC"/>
    <w:rsid w:val="00DF2836"/>
    <w:rsid w:val="00DF32BC"/>
    <w:rsid w:val="00DF7A17"/>
    <w:rsid w:val="00E04344"/>
    <w:rsid w:val="00E3336E"/>
    <w:rsid w:val="00E36904"/>
    <w:rsid w:val="00E410C6"/>
    <w:rsid w:val="00E42000"/>
    <w:rsid w:val="00E441D6"/>
    <w:rsid w:val="00E47FB8"/>
    <w:rsid w:val="00E502DA"/>
    <w:rsid w:val="00E53CE1"/>
    <w:rsid w:val="00E56579"/>
    <w:rsid w:val="00E7409D"/>
    <w:rsid w:val="00E872C5"/>
    <w:rsid w:val="00E87C22"/>
    <w:rsid w:val="00EA118E"/>
    <w:rsid w:val="00EA2890"/>
    <w:rsid w:val="00EA2EFC"/>
    <w:rsid w:val="00EA5775"/>
    <w:rsid w:val="00EA5892"/>
    <w:rsid w:val="00EC52A1"/>
    <w:rsid w:val="00ED75B5"/>
    <w:rsid w:val="00ED780C"/>
    <w:rsid w:val="00ED791B"/>
    <w:rsid w:val="00EE0536"/>
    <w:rsid w:val="00EE0891"/>
    <w:rsid w:val="00EE6A4E"/>
    <w:rsid w:val="00EF1D19"/>
    <w:rsid w:val="00EF474F"/>
    <w:rsid w:val="00EF4AC5"/>
    <w:rsid w:val="00F05A9A"/>
    <w:rsid w:val="00F11CA9"/>
    <w:rsid w:val="00F1229B"/>
    <w:rsid w:val="00F16599"/>
    <w:rsid w:val="00F16981"/>
    <w:rsid w:val="00F21D50"/>
    <w:rsid w:val="00F31CE7"/>
    <w:rsid w:val="00F367B3"/>
    <w:rsid w:val="00F37CA9"/>
    <w:rsid w:val="00F43573"/>
    <w:rsid w:val="00F447A2"/>
    <w:rsid w:val="00F52025"/>
    <w:rsid w:val="00F52663"/>
    <w:rsid w:val="00F60A63"/>
    <w:rsid w:val="00F75CC3"/>
    <w:rsid w:val="00F76445"/>
    <w:rsid w:val="00F81184"/>
    <w:rsid w:val="00F902EF"/>
    <w:rsid w:val="00F94A6F"/>
    <w:rsid w:val="00F97FE6"/>
    <w:rsid w:val="00FA21CB"/>
    <w:rsid w:val="00FA47EF"/>
    <w:rsid w:val="00FA4B57"/>
    <w:rsid w:val="00FB2391"/>
    <w:rsid w:val="00FC777D"/>
    <w:rsid w:val="00FE1554"/>
    <w:rsid w:val="00FE6C82"/>
    <w:rsid w:val="00FF2020"/>
    <w:rsid w:val="00FF696B"/>
    <w:rsid w:val="00FF6E6C"/>
    <w:rsid w:val="2B9C968E"/>
    <w:rsid w:val="3EC5CEB1"/>
    <w:rsid w:val="546B93FF"/>
    <w:rsid w:val="6DF55A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BC11A"/>
  <w15:chartTrackingRefBased/>
  <w15:docId w15:val="{E9B1CA9C-8632-4A85-AC3D-4BFD2D3F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6" w:unhideWhenUsed="1" w:qFormat="1"/>
    <w:lsdException w:name="heading 4" w:semiHidden="1" w:uiPriority="6"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5"/>
    <w:qFormat/>
    <w:rsid w:val="00782C56"/>
    <w:pPr>
      <w:widowControl w:val="0"/>
      <w:numPr>
        <w:numId w:val="2"/>
      </w:numPr>
      <w:tabs>
        <w:tab w:val="left" w:pos="1701"/>
      </w:tabs>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82C56"/>
    <w:pPr>
      <w:numPr>
        <w:ilvl w:val="1"/>
        <w:numId w:val="2"/>
      </w:numPr>
      <w:spacing w:before="240"/>
      <w:outlineLvl w:val="1"/>
    </w:pPr>
    <w:rPr>
      <w:rFonts w:cs="Arial"/>
      <w:b/>
      <w:bCs/>
      <w:sz w:val="32"/>
      <w:szCs w:val="40"/>
    </w:rPr>
  </w:style>
  <w:style w:type="paragraph" w:styleId="Heading3">
    <w:name w:val="heading 3"/>
    <w:basedOn w:val="Normal"/>
    <w:next w:val="Normal"/>
    <w:link w:val="Heading3Char"/>
    <w:autoRedefine/>
    <w:uiPriority w:val="6"/>
    <w:unhideWhenUsed/>
    <w:qFormat/>
    <w:rsid w:val="00782C56"/>
    <w:pPr>
      <w:numPr>
        <w:ilvl w:val="2"/>
        <w:numId w:val="2"/>
      </w:numPr>
      <w:spacing w:before="240"/>
      <w:outlineLvl w:val="2"/>
    </w:pPr>
    <w:rPr>
      <w:rFonts w:cs="Arial"/>
      <w:bCs/>
      <w:sz w:val="28"/>
      <w:szCs w:val="28"/>
    </w:rPr>
  </w:style>
  <w:style w:type="paragraph" w:styleId="Heading4">
    <w:name w:val="heading 4"/>
    <w:basedOn w:val="Normal"/>
    <w:next w:val="Normal"/>
    <w:link w:val="Heading4Char"/>
    <w:autoRedefine/>
    <w:uiPriority w:val="6"/>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5"/>
    <w:rsid w:val="00782C56"/>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82C56"/>
    <w:rPr>
      <w:rFonts w:ascii="Noto Sans" w:eastAsiaTheme="minorEastAsia" w:hAnsi="Noto Sans" w:cs="Arial"/>
      <w:b/>
      <w:bCs/>
      <w:sz w:val="32"/>
      <w:szCs w:val="40"/>
    </w:rPr>
  </w:style>
  <w:style w:type="character" w:customStyle="1" w:styleId="Heading3Char">
    <w:name w:val="Heading 3 Char"/>
    <w:basedOn w:val="DefaultParagraphFont"/>
    <w:link w:val="Heading3"/>
    <w:uiPriority w:val="6"/>
    <w:rsid w:val="00782C56"/>
    <w:rPr>
      <w:rFonts w:ascii="Noto Sans" w:eastAsiaTheme="minorEastAsia" w:hAnsi="Noto Sans"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1"/>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20"/>
      <w:lang w:eastAsia="en-AU"/>
    </w:rPr>
  </w:style>
  <w:style w:type="table" w:customStyle="1" w:styleId="TableGrid1">
    <w:name w:val="Table Grid1"/>
    <w:basedOn w:val="TableNormal"/>
    <w:next w:val="TableGrid"/>
    <w:rsid w:val="003C632B"/>
    <w:pPr>
      <w:spacing w:before="60"/>
    </w:pPr>
    <w:rPr>
      <w:rFonts w:ascii="Arial" w:eastAsia="Arial" w:hAnsi="Arial" w:cs="Times New Roman"/>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3C632B"/>
    <w:pPr>
      <w:spacing w:before="60"/>
    </w:pPr>
    <w:rPr>
      <w:rFonts w:ascii="Arial" w:eastAsia="Arial" w:hAnsi="Arial" w:cs="Times New Roman"/>
      <w:sz w:val="18"/>
      <w:szCs w:val="18"/>
    </w:rPr>
    <w:tblPr>
      <w:tblStyleRowBandSize w:val="1"/>
      <w:tblInd w:w="0" w:type="nil"/>
      <w:tblBorders>
        <w:top w:val="single" w:sz="4" w:space="0" w:color="BFBFBF"/>
        <w:bottom w:val="single" w:sz="4" w:space="0" w:color="BFBFBF"/>
        <w:insideH w:val="single" w:sz="4" w:space="0" w:color="BFBFBF"/>
      </w:tblBorders>
    </w:tblPr>
    <w:tblStylePr w:type="firstRow">
      <w:tblPr/>
      <w:tcPr>
        <w:shd w:val="clear" w:color="auto" w:fill="D5D5D5"/>
      </w:tcPr>
    </w:tblStylePr>
  </w:style>
  <w:style w:type="character" w:styleId="PlaceholderText">
    <w:name w:val="Placeholder Text"/>
    <w:basedOn w:val="DefaultParagraphFont"/>
    <w:uiPriority w:val="99"/>
    <w:semiHidden/>
    <w:rsid w:val="003C632B"/>
  </w:style>
  <w:style w:type="paragraph" w:styleId="ListBullet">
    <w:name w:val="List Bullet"/>
    <w:basedOn w:val="Normal"/>
    <w:uiPriority w:val="1"/>
    <w:unhideWhenUsed/>
    <w:rsid w:val="0014561E"/>
    <w:pPr>
      <w:spacing w:before="60" w:after="60"/>
    </w:pPr>
    <w:rPr>
      <w:rFonts w:ascii="Arial" w:eastAsiaTheme="minorHAnsi" w:hAnsi="Arial"/>
      <w:color w:val="FFC000" w:themeColor="accent4"/>
      <w:szCs w:val="18"/>
    </w:rPr>
  </w:style>
  <w:style w:type="paragraph" w:styleId="BodyText">
    <w:name w:val="Body Text"/>
    <w:basedOn w:val="Normal"/>
    <w:link w:val="BodyTextChar"/>
    <w:unhideWhenUsed/>
    <w:rsid w:val="005C4B83"/>
    <w:pPr>
      <w:spacing w:before="120"/>
    </w:pPr>
    <w:rPr>
      <w:rFonts w:ascii="Arial" w:eastAsiaTheme="minorHAnsi" w:hAnsi="Arial"/>
      <w:color w:val="FFC000" w:themeColor="accent4"/>
      <w:szCs w:val="18"/>
    </w:rPr>
  </w:style>
  <w:style w:type="character" w:customStyle="1" w:styleId="BodyTextChar">
    <w:name w:val="Body Text Char"/>
    <w:basedOn w:val="DefaultParagraphFont"/>
    <w:link w:val="BodyText"/>
    <w:rsid w:val="005C4B83"/>
    <w:rPr>
      <w:rFonts w:ascii="Arial" w:hAnsi="Arial"/>
      <w:color w:val="FFC000" w:themeColor="accent4"/>
      <w:sz w:val="20"/>
      <w:szCs w:val="18"/>
    </w:rPr>
  </w:style>
  <w:style w:type="character" w:styleId="Hyperlink">
    <w:name w:val="Hyperlink"/>
    <w:basedOn w:val="DefaultParagraphFont"/>
    <w:uiPriority w:val="99"/>
    <w:unhideWhenUsed/>
    <w:rsid w:val="004C62ED"/>
    <w:rPr>
      <w:color w:val="0563C1" w:themeColor="hyperlink"/>
      <w:u w:val="single"/>
    </w:rPr>
  </w:style>
  <w:style w:type="character" w:styleId="UnresolvedMention">
    <w:name w:val="Unresolved Mention"/>
    <w:basedOn w:val="DefaultParagraphFont"/>
    <w:uiPriority w:val="99"/>
    <w:rsid w:val="004C62ED"/>
    <w:rPr>
      <w:color w:val="605E5C"/>
      <w:shd w:val="clear" w:color="auto" w:fill="E1DFDD"/>
    </w:rPr>
  </w:style>
  <w:style w:type="paragraph" w:styleId="ListBullet2">
    <w:name w:val="List Bullet 2"/>
    <w:basedOn w:val="Normal"/>
    <w:uiPriority w:val="10"/>
    <w:unhideWhenUsed/>
    <w:rsid w:val="006862A5"/>
    <w:pPr>
      <w:numPr>
        <w:numId w:val="4"/>
      </w:numPr>
      <w:contextualSpacing/>
    </w:pPr>
  </w:style>
  <w:style w:type="character" w:styleId="FollowedHyperlink">
    <w:name w:val="FollowedHyperlink"/>
    <w:basedOn w:val="DefaultParagraphFont"/>
    <w:uiPriority w:val="99"/>
    <w:semiHidden/>
    <w:unhideWhenUsed/>
    <w:rsid w:val="00731D5A"/>
    <w:rPr>
      <w:color w:val="954F72" w:themeColor="followedHyperlink"/>
      <w:u w:val="single"/>
    </w:rPr>
  </w:style>
  <w:style w:type="paragraph" w:styleId="Caption">
    <w:name w:val="caption"/>
    <w:basedOn w:val="Normal"/>
    <w:next w:val="Normal"/>
    <w:uiPriority w:val="12"/>
    <w:unhideWhenUsed/>
    <w:rsid w:val="00252269"/>
    <w:pPr>
      <w:tabs>
        <w:tab w:val="left" w:pos="1418"/>
      </w:tabs>
      <w:spacing w:before="60" w:after="60"/>
      <w:ind w:left="1418" w:hanging="1418"/>
    </w:pPr>
    <w:rPr>
      <w:rFonts w:ascii="Arial" w:eastAsiaTheme="minorHAnsi" w:hAnsi="Arial"/>
      <w:b/>
      <w:bCs/>
      <w:color w:val="FFC000" w:themeColor="accent4"/>
      <w:szCs w:val="18"/>
    </w:rPr>
  </w:style>
  <w:style w:type="paragraph" w:customStyle="1" w:styleId="Heading1introtext">
    <w:name w:val="Heading 1 intro text"/>
    <w:basedOn w:val="Heading2"/>
    <w:next w:val="Normal"/>
    <w:uiPriority w:val="5"/>
    <w:rsid w:val="00A84530"/>
    <w:pPr>
      <w:numPr>
        <w:ilvl w:val="0"/>
        <w:numId w:val="0"/>
      </w:numPr>
      <w:tabs>
        <w:tab w:val="left" w:pos="1134"/>
      </w:tabs>
      <w:spacing w:after="240"/>
    </w:pPr>
    <w:rPr>
      <w:rFonts w:ascii="Arial" w:eastAsiaTheme="majorEastAsia" w:hAnsi="Arial" w:cstheme="majorBidi"/>
      <w:b w:val="0"/>
      <w:bCs w:val="0"/>
      <w:color w:val="05325F" w:themeColor="text2"/>
      <w:sz w:val="44"/>
      <w:szCs w:val="26"/>
    </w:rPr>
  </w:style>
  <w:style w:type="paragraph" w:customStyle="1" w:styleId="TableListBullet2">
    <w:name w:val="Table List Bullet 2"/>
    <w:basedOn w:val="Normal"/>
    <w:uiPriority w:val="20"/>
    <w:rsid w:val="00621B6E"/>
    <w:pPr>
      <w:numPr>
        <w:numId w:val="6"/>
      </w:numPr>
      <w:tabs>
        <w:tab w:val="left" w:pos="714"/>
      </w:tabs>
      <w:spacing w:before="60" w:after="60"/>
    </w:pPr>
    <w:rPr>
      <w:rFonts w:ascii="Arial" w:eastAsiaTheme="minorHAnsi" w:hAnsi="Arial"/>
      <w:color w:val="FFC000" w:themeColor="accent4"/>
      <w:szCs w:val="18"/>
    </w:rPr>
  </w:style>
  <w:style w:type="paragraph" w:customStyle="1" w:styleId="TableListBullet">
    <w:name w:val="Table List Bullet"/>
    <w:basedOn w:val="Normal"/>
    <w:uiPriority w:val="19"/>
    <w:rsid w:val="00621B6E"/>
    <w:pPr>
      <w:numPr>
        <w:numId w:val="7"/>
      </w:numPr>
      <w:tabs>
        <w:tab w:val="left" w:pos="357"/>
      </w:tabs>
      <w:spacing w:before="60" w:after="60"/>
    </w:pPr>
    <w:rPr>
      <w:rFonts w:ascii="Arial" w:eastAsiaTheme="minorHAnsi" w:hAnsi="Arial"/>
      <w:color w:val="FFC000" w:themeColor="accent4"/>
      <w:szCs w:val="18"/>
    </w:rPr>
  </w:style>
  <w:style w:type="paragraph" w:styleId="ListNumber">
    <w:name w:val="List Number"/>
    <w:basedOn w:val="ListParagraph"/>
    <w:uiPriority w:val="10"/>
    <w:semiHidden/>
    <w:unhideWhenUsed/>
    <w:rsid w:val="00156451"/>
    <w:pPr>
      <w:numPr>
        <w:numId w:val="9"/>
      </w:numPr>
      <w:tabs>
        <w:tab w:val="clear" w:pos="2835"/>
        <w:tab w:val="left" w:pos="357"/>
      </w:tabs>
      <w:spacing w:before="60" w:after="60"/>
      <w:ind w:left="0" w:firstLine="0"/>
    </w:pPr>
    <w:rPr>
      <w:rFonts w:ascii="Arial" w:eastAsiaTheme="minorHAnsi" w:hAnsi="Arial"/>
      <w:color w:val="FFC000" w:themeColor="accent4"/>
      <w:szCs w:val="18"/>
      <w:lang w:eastAsia="en-US"/>
    </w:rPr>
  </w:style>
  <w:style w:type="paragraph" w:customStyle="1" w:styleId="TableBullet">
    <w:name w:val="Table Bullet"/>
    <w:basedOn w:val="Normal"/>
    <w:uiPriority w:val="5"/>
    <w:rsid w:val="003D2DB3"/>
    <w:pPr>
      <w:numPr>
        <w:numId w:val="10"/>
      </w:numPr>
      <w:spacing w:before="60" w:after="60"/>
      <w:ind w:right="113"/>
    </w:pPr>
    <w:rPr>
      <w:rFonts w:asciiTheme="minorHAnsi" w:eastAsia="Times New Roman" w:hAnsiTheme="minorHAnsi" w:cs="Times New Roman"/>
      <w:lang w:eastAsia="en-AU"/>
    </w:rPr>
  </w:style>
  <w:style w:type="paragraph" w:customStyle="1" w:styleId="TableBullet2">
    <w:name w:val="Table Bullet 2"/>
    <w:basedOn w:val="TableBullet"/>
    <w:uiPriority w:val="19"/>
    <w:rsid w:val="003D2DB3"/>
    <w:pPr>
      <w:numPr>
        <w:ilvl w:val="1"/>
      </w:numPr>
    </w:pPr>
  </w:style>
  <w:style w:type="numbering" w:customStyle="1" w:styleId="ListTableBullet">
    <w:name w:val="List_TableBullet"/>
    <w:uiPriority w:val="99"/>
    <w:rsid w:val="003D2DB3"/>
    <w:pPr>
      <w:numPr>
        <w:numId w:val="10"/>
      </w:numPr>
    </w:pPr>
  </w:style>
  <w:style w:type="paragraph" w:customStyle="1" w:styleId="NbrHeading1">
    <w:name w:val="Nbr Heading 1"/>
    <w:basedOn w:val="Heading1"/>
    <w:next w:val="BodyText"/>
    <w:rsid w:val="009B4A3B"/>
    <w:pPr>
      <w:keepNext/>
      <w:keepLines/>
      <w:numPr>
        <w:numId w:val="11"/>
      </w:numPr>
      <w:tabs>
        <w:tab w:val="clear" w:pos="1134"/>
        <w:tab w:val="clear" w:pos="1701"/>
        <w:tab w:val="num" w:pos="360"/>
      </w:tabs>
      <w:suppressAutoHyphens w:val="0"/>
      <w:autoSpaceDE/>
      <w:autoSpaceDN/>
      <w:adjustRightInd/>
      <w:spacing w:before="240"/>
      <w:ind w:left="0" w:firstLine="0"/>
      <w:textAlignment w:val="auto"/>
    </w:pPr>
    <w:rPr>
      <w:rFonts w:asciiTheme="majorHAnsi" w:eastAsia="Times New Roman" w:hAnsiTheme="majorHAnsi"/>
      <w:b w:val="0"/>
      <w:caps/>
      <w:color w:val="auto"/>
      <w:sz w:val="32"/>
      <w:szCs w:val="32"/>
      <w:lang w:val="en-AU" w:eastAsia="en-AU"/>
    </w:rPr>
  </w:style>
  <w:style w:type="paragraph" w:customStyle="1" w:styleId="NbrHeading2">
    <w:name w:val="Nbr Heading 2"/>
    <w:basedOn w:val="Heading2"/>
    <w:next w:val="BodyText"/>
    <w:rsid w:val="009B4A3B"/>
    <w:pPr>
      <w:keepNext/>
      <w:keepLines/>
      <w:numPr>
        <w:numId w:val="11"/>
      </w:numPr>
      <w:tabs>
        <w:tab w:val="clear" w:pos="1134"/>
        <w:tab w:val="num" w:pos="360"/>
      </w:tabs>
      <w:ind w:left="0" w:firstLine="0"/>
    </w:pPr>
    <w:rPr>
      <w:rFonts w:asciiTheme="majorHAnsi" w:eastAsia="Times New Roman" w:hAnsiTheme="majorHAnsi"/>
      <w:b w:val="0"/>
      <w:iCs/>
      <w:color w:val="C45911" w:themeColor="accent2" w:themeShade="BF"/>
      <w:sz w:val="28"/>
      <w:szCs w:val="28"/>
      <w:lang w:eastAsia="en-AU"/>
    </w:rPr>
  </w:style>
  <w:style w:type="paragraph" w:customStyle="1" w:styleId="NbrHeading3">
    <w:name w:val="Nbr Heading 3"/>
    <w:basedOn w:val="Heading3"/>
    <w:next w:val="BodyText"/>
    <w:rsid w:val="009B4A3B"/>
    <w:pPr>
      <w:keepNext/>
      <w:keepLines/>
      <w:numPr>
        <w:numId w:val="11"/>
      </w:numPr>
      <w:tabs>
        <w:tab w:val="clear" w:pos="1134"/>
        <w:tab w:val="num" w:pos="360"/>
      </w:tabs>
      <w:ind w:left="0" w:firstLine="0"/>
    </w:pPr>
    <w:rPr>
      <w:rFonts w:asciiTheme="majorHAnsi" w:eastAsia="Times New Roman" w:hAnsiTheme="majorHAnsi" w:cs="Times New Roman"/>
      <w:color w:val="C45911" w:themeColor="accent2" w:themeShade="BF"/>
      <w:sz w:val="26"/>
      <w:szCs w:val="24"/>
      <w:lang w:eastAsia="en-AU"/>
    </w:rPr>
  </w:style>
  <w:style w:type="paragraph" w:customStyle="1" w:styleId="NbrHeading4">
    <w:name w:val="Nbr Heading 4"/>
    <w:basedOn w:val="Heading4"/>
    <w:next w:val="BodyText"/>
    <w:rsid w:val="009B4A3B"/>
    <w:pPr>
      <w:keepNext/>
      <w:keepLines/>
      <w:numPr>
        <w:ilvl w:val="3"/>
        <w:numId w:val="11"/>
      </w:numPr>
      <w:tabs>
        <w:tab w:val="clear" w:pos="1134"/>
        <w:tab w:val="num" w:pos="360"/>
      </w:tabs>
      <w:spacing w:before="120"/>
      <w:ind w:left="0" w:firstLine="0"/>
    </w:pPr>
    <w:rPr>
      <w:rFonts w:asciiTheme="majorHAnsi" w:eastAsia="Times New Roman" w:hAnsiTheme="majorHAnsi" w:cs="Times New Roman"/>
      <w:i w:val="0"/>
      <w:iCs w:val="0"/>
      <w:color w:val="A70240" w:themeColor="accent3"/>
      <w:sz w:val="24"/>
      <w:szCs w:val="22"/>
      <w:lang w:eastAsia="en-AU"/>
    </w:rPr>
  </w:style>
  <w:style w:type="paragraph" w:customStyle="1" w:styleId="NbrHeading5">
    <w:name w:val="Nbr Heading 5"/>
    <w:basedOn w:val="Heading5"/>
    <w:next w:val="BodyText"/>
    <w:rsid w:val="009B4A3B"/>
    <w:pPr>
      <w:numPr>
        <w:ilvl w:val="4"/>
        <w:numId w:val="11"/>
      </w:numPr>
      <w:tabs>
        <w:tab w:val="clear" w:pos="1134"/>
        <w:tab w:val="num" w:pos="360"/>
      </w:tabs>
      <w:spacing w:before="120" w:after="120"/>
      <w:ind w:left="0" w:firstLine="0"/>
    </w:pPr>
    <w:rPr>
      <w:rFonts w:asciiTheme="majorHAnsi" w:eastAsia="Times New Roman" w:hAnsiTheme="majorHAnsi" w:cs="Times New Roman"/>
      <w:bCs/>
      <w:iCs/>
      <w:color w:val="A70240" w:themeColor="accent3"/>
      <w:sz w:val="22"/>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rastructureaustralia.gov.au/Assessment-Framework-overview"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tedevelopment.qld.gov.au/industry/infrastructu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eril\Downloads\deliverqld-word-template-noto-a4p%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2456B9CEB43F4A99E96AED49D11DE"/>
        <w:category>
          <w:name w:val="General"/>
          <w:gallery w:val="placeholder"/>
        </w:category>
        <w:types>
          <w:type w:val="bbPlcHdr"/>
        </w:types>
        <w:behaviors>
          <w:behavior w:val="content"/>
        </w:behaviors>
        <w:guid w:val="{5BEDD51F-6886-4866-9E6F-7E11C61F48B0}"/>
      </w:docPartPr>
      <w:docPartBody>
        <w:p w:rsidR="003E053B" w:rsidRDefault="004C4EE0" w:rsidP="004C4EE0">
          <w:pPr>
            <w:pStyle w:val="DD62456B9CEB43F4A99E96AED49D11DE"/>
          </w:pPr>
          <w:r>
            <w:rPr>
              <w:rStyle w:val="PlaceholderText"/>
            </w:rPr>
            <w:t>[Title]</w:t>
          </w:r>
        </w:p>
      </w:docPartBody>
    </w:docPart>
    <w:docPart>
      <w:docPartPr>
        <w:name w:val="E1B1F677563D43938B107E74EB83C434"/>
        <w:category>
          <w:name w:val="General"/>
          <w:gallery w:val="placeholder"/>
        </w:category>
        <w:types>
          <w:type w:val="bbPlcHdr"/>
        </w:types>
        <w:behaviors>
          <w:behavior w:val="content"/>
        </w:behaviors>
        <w:guid w:val="{82815E6B-886C-4885-95A0-4844EEF516C0}"/>
      </w:docPartPr>
      <w:docPartBody>
        <w:p w:rsidR="003E053B" w:rsidRDefault="004C4EE0" w:rsidP="004C4EE0">
          <w:pPr>
            <w:pStyle w:val="E1B1F677563D43938B107E74EB83C434"/>
          </w:pPr>
          <w:r>
            <w:rPr>
              <w:rStyle w:val="PlaceholderText"/>
            </w:rPr>
            <w:t>[Subject]</w:t>
          </w:r>
        </w:p>
      </w:docPartBody>
    </w:docPart>
    <w:docPart>
      <w:docPartPr>
        <w:name w:val="6317D91A18DB460BAF41E4A18BD02E85"/>
        <w:category>
          <w:name w:val="General"/>
          <w:gallery w:val="placeholder"/>
        </w:category>
        <w:types>
          <w:type w:val="bbPlcHdr"/>
        </w:types>
        <w:behaviors>
          <w:behavior w:val="content"/>
        </w:behaviors>
        <w:guid w:val="{02D6BDBF-7033-42BB-97CE-0F85FCEBF15A}"/>
      </w:docPartPr>
      <w:docPartBody>
        <w:p w:rsidR="00EA5775" w:rsidRDefault="00EA5775" w:rsidP="00EA5775">
          <w:pPr>
            <w:pStyle w:val="6317D91A18DB460BAF41E4A18BD02E85"/>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E0"/>
    <w:rsid w:val="000773B2"/>
    <w:rsid w:val="000C48D8"/>
    <w:rsid w:val="003012E7"/>
    <w:rsid w:val="003E053B"/>
    <w:rsid w:val="004C4EE0"/>
    <w:rsid w:val="004D24BF"/>
    <w:rsid w:val="005647B7"/>
    <w:rsid w:val="006A4A91"/>
    <w:rsid w:val="007077D2"/>
    <w:rsid w:val="00736125"/>
    <w:rsid w:val="008C7892"/>
    <w:rsid w:val="00B639CA"/>
    <w:rsid w:val="00B80251"/>
    <w:rsid w:val="00D40249"/>
    <w:rsid w:val="00EA57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775"/>
  </w:style>
  <w:style w:type="paragraph" w:customStyle="1" w:styleId="DD62456B9CEB43F4A99E96AED49D11DE">
    <w:name w:val="DD62456B9CEB43F4A99E96AED49D11DE"/>
    <w:rsid w:val="004C4EE0"/>
  </w:style>
  <w:style w:type="paragraph" w:customStyle="1" w:styleId="E1B1F677563D43938B107E74EB83C434">
    <w:name w:val="E1B1F677563D43938B107E74EB83C434"/>
    <w:rsid w:val="004C4EE0"/>
  </w:style>
  <w:style w:type="paragraph" w:customStyle="1" w:styleId="6317D91A18DB460BAF41E4A18BD02E85">
    <w:name w:val="6317D91A18DB460BAF41E4A18BD02E85"/>
    <w:rsid w:val="00EA57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3B45F5546C4134CA14404AADD0E4E4F" ma:contentTypeVersion="13" ma:contentTypeDescription="Create a new document." ma:contentTypeScope="" ma:versionID="f76fe415d34d4bda91b481519906708a">
  <xsd:schema xmlns:xsd="http://www.w3.org/2001/XMLSchema" xmlns:xs="http://www.w3.org/2001/XMLSchema" xmlns:p="http://schemas.microsoft.com/office/2006/metadata/properties" xmlns:ns2="0bc9e18d-4312-45e6-b82d-a02b142c0076" xmlns:ns3="658a648c-f9ea-4a2f-975b-7ce25bdb4b8c" targetNamespace="http://schemas.microsoft.com/office/2006/metadata/properties" ma:root="true" ma:fieldsID="9e2690a87511e4e59b429124f30dcf67" ns2:_="" ns3:_="">
    <xsd:import namespace="0bc9e18d-4312-45e6-b82d-a02b142c0076"/>
    <xsd:import namespace="658a648c-f9ea-4a2f-975b-7ce25bdb4b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18d-4312-45e6-b82d-a02b142c00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a648c-f9ea-4a2f-975b-7ce25bdb4b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19206b-516d-42d8-abf3-050dfb1fe887}" ma:internalName="TaxCatchAll" ma:showField="CatchAllData" ma:web="658a648c-f9ea-4a2f-975b-7ce25bdb4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58a648c-f9ea-4a2f-975b-7ce25bdb4b8c" xsi:nil="true"/>
    <lcf76f155ced4ddcb4097134ff3c332f xmlns="0bc9e18d-4312-45e6-b82d-a02b142c0076">
      <Terms xmlns="http://schemas.microsoft.com/office/infopath/2007/PartnerControls"/>
    </lcf76f155ced4ddcb4097134ff3c332f>
    <comments xmlns="0bc9e18d-4312-45e6-b82d-a02b142c0076">This work is marked with CC0 1.0 Universal. </comments>
  </documentManagement>
</p:properties>
</file>

<file path=customXml/itemProps1.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605E5598-A80A-4DE0-8E54-128C41D3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18d-4312-45e6-b82d-a02b142c0076"/>
    <ds:schemaRef ds:uri="658a648c-f9ea-4a2f-975b-7ce25bdb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55E8B-6177-423A-8434-C94A74EEE5E8}">
  <ds:schemaRefs>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http://purl.org/dc/elements/1.1/"/>
    <ds:schemaRef ds:uri="0bc9e18d-4312-45e6-b82d-a02b142c0076"/>
    <ds:schemaRef ds:uri="http://schemas.microsoft.com/office/infopath/2007/PartnerControls"/>
    <ds:schemaRef ds:uri="658a648c-f9ea-4a2f-975b-7ce25bdb4b8c"/>
    <ds:schemaRef ds:uri="http://purl.org/dc/terms/"/>
  </ds:schemaRefs>
</ds:datastoreItem>
</file>

<file path=docProps/app.xml><?xml version="1.0" encoding="utf-8"?>
<Properties xmlns="http://schemas.openxmlformats.org/officeDocument/2006/extended-properties" xmlns:vt="http://schemas.openxmlformats.org/officeDocument/2006/docPropsVTypes">
  <Template>deliverqld-word-template-noto-a4p (2)</Template>
  <TotalTime>0</TotalTime>
  <Pages>9</Pages>
  <Words>2060</Words>
  <Characters>12653</Characters>
  <Application>Microsoft Office Word</Application>
  <DocSecurity>0</DocSecurity>
  <Lines>436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14464</CharactersWithSpaces>
  <SharedDoc>false</SharedDoc>
  <HLinks>
    <vt:vector size="12" baseType="variant">
      <vt:variant>
        <vt:i4>1376348</vt:i4>
      </vt:variant>
      <vt:variant>
        <vt:i4>3</vt:i4>
      </vt:variant>
      <vt:variant>
        <vt:i4>0</vt:i4>
      </vt:variant>
      <vt:variant>
        <vt:i4>5</vt:i4>
      </vt:variant>
      <vt:variant>
        <vt:lpwstr>https://www.infrastructureaustralia.gov.au/publications/assessment-framework</vt:lpwstr>
      </vt:variant>
      <vt:variant>
        <vt:lpwstr/>
      </vt:variant>
      <vt:variant>
        <vt:i4>6422571</vt:i4>
      </vt:variant>
      <vt:variant>
        <vt:i4>0</vt:i4>
      </vt:variant>
      <vt:variant>
        <vt:i4>0</vt:i4>
      </vt:variant>
      <vt:variant>
        <vt:i4>5</vt:i4>
      </vt:variant>
      <vt:variant>
        <vt:lpwstr>https://www.statedevelopment.qld.gov.au/industry/infrastructure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Services</dc:title>
  <dc:subject>Stakeholder Engagement, Communications and Social Impact Evaluation Services</dc:subject>
  <dc:creator>Lydia Poteri</dc:creator>
  <cp:keywords/>
  <dc:description/>
  <cp:lastModifiedBy>Lydia Poteri</cp:lastModifiedBy>
  <cp:revision>306</cp:revision>
  <cp:lastPrinted>2025-08-07T22:04:00Z</cp:lastPrinted>
  <dcterms:created xsi:type="dcterms:W3CDTF">2025-12-16T19:54:00Z</dcterms:created>
  <dcterms:modified xsi:type="dcterms:W3CDTF">2025-12-22T22:53:00Z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0x01010053B45F5546C4134CA14404AADD0E4E4F</vt:lpwstr>
  </property>
  <property fmtid="{D5CDD505-2E9C-101B-9397-08002B2CF9AE}" pid="3" name="_dlc_DocIdItemGuid">
    <vt:lpwstr>9c81dd20-6ca7-4a48-b4a6-27f21d98cfa5</vt:lpwstr>
  </property>
  <property fmtid="{D5CDD505-2E9C-101B-9397-08002B2CF9AE}" pid="4" name="MediaServiceImageTags">
    <vt:lpwstr/>
  </property>
</Properties>
</file>