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987E" w14:textId="21462720" w:rsidR="003C632B" w:rsidRPr="003C632B" w:rsidRDefault="00E35FA4" w:rsidP="003C632B">
      <w:pPr>
        <w:spacing w:before="120"/>
        <w:rPr>
          <w:rStyle w:val="UltraHeadingChar"/>
        </w:rPr>
      </w:pPr>
      <w:sdt>
        <w:sdtPr>
          <w:rPr>
            <w:rStyle w:val="UltraHeadingChar"/>
          </w:rPr>
          <w:alias w:val="Title"/>
          <w:id w:val="1429458839"/>
          <w:placeholder>
            <w:docPart w:val="DD62456B9CEB43F4A99E96AED49D11DE"/>
          </w:placeholder>
          <w:dataBinding w:prefixMappings="xmlns:ns0='http://purl.org/dc/elements/1.1/' xmlns:ns1='http://schemas.openxmlformats.org/package/2006/metadata/core-properties' " w:xpath="/ns1:coreProperties[1]/ns0:title[1]" w:storeItemID="{6C3C8BC8-F283-45AE-878A-BAB7291924A1}"/>
          <w:text/>
        </w:sdtPr>
        <w:sdtEndPr>
          <w:rPr>
            <w:rStyle w:val="UltraHeadingChar"/>
          </w:rPr>
        </w:sdtEndPr>
        <w:sdtContent>
          <w:r w:rsidR="003C632B" w:rsidRPr="003C632B">
            <w:rPr>
              <w:rStyle w:val="UltraHeadingChar"/>
            </w:rPr>
            <w:t>Scope of Services</w:t>
          </w:r>
        </w:sdtContent>
      </w:sdt>
    </w:p>
    <w:p w14:paraId="10890A2B" w14:textId="7B5C4142" w:rsidR="003C632B" w:rsidRPr="003C632B" w:rsidRDefault="00E35FA4" w:rsidP="003C632B">
      <w:pPr>
        <w:spacing w:before="120"/>
        <w:rPr>
          <w:rStyle w:val="Heading1Char"/>
        </w:rPr>
      </w:pPr>
      <w:sdt>
        <w:sdtPr>
          <w:rPr>
            <w:rStyle w:val="Heading1Char"/>
          </w:rPr>
          <w:alias w:val="Subject"/>
          <w:id w:val="1066618773"/>
          <w:placeholder>
            <w:docPart w:val="E1B1F677563D43938B107E74EB83C434"/>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781710">
            <w:rPr>
              <w:rStyle w:val="Heading1Char"/>
            </w:rPr>
            <w:t>Advisory Services – Legal</w:t>
          </w:r>
        </w:sdtContent>
      </w:sdt>
    </w:p>
    <w:tbl>
      <w:tblPr>
        <w:tblStyle w:val="TableGrid1"/>
        <w:tblW w:w="0" w:type="auto"/>
        <w:tblInd w:w="0" w:type="dxa"/>
        <w:tblLook w:val="04A0" w:firstRow="1" w:lastRow="0" w:firstColumn="1" w:lastColumn="0" w:noHBand="0" w:noVBand="1"/>
      </w:tblPr>
      <w:tblGrid>
        <w:gridCol w:w="9628"/>
      </w:tblGrid>
      <w:tr w:rsidR="003C632B" w:rsidRPr="003C632B" w14:paraId="31FE4B04" w14:textId="77777777">
        <w:tc>
          <w:tcPr>
            <w:tcW w:w="9628" w:type="dxa"/>
            <w:tcBorders>
              <w:top w:val="single" w:sz="4" w:space="0" w:color="auto"/>
              <w:left w:val="single" w:sz="4" w:space="0" w:color="auto"/>
              <w:bottom w:val="single" w:sz="4" w:space="0" w:color="auto"/>
              <w:right w:val="single" w:sz="4" w:space="0" w:color="auto"/>
            </w:tcBorders>
          </w:tcPr>
          <w:p w14:paraId="7457D8C7" w14:textId="3FD85A78" w:rsidR="003C632B" w:rsidRPr="0014561E" w:rsidRDefault="00E35FA4" w:rsidP="003C632B">
            <w:pPr>
              <w:spacing w:before="120"/>
              <w:rPr>
                <w:rFonts w:eastAsia="Arial" w:cs="Noto Sans"/>
                <w:b/>
              </w:rPr>
            </w:pPr>
            <w:r w:rsidRPr="0014561E">
              <w:rPr>
                <w:rFonts w:eastAsia="Arial" w:cs="Noto Sans"/>
                <w:b/>
              </w:rPr>
              <w:t xml:space="preserve">Instructions for using this document </w:t>
            </w:r>
          </w:p>
          <w:p w14:paraId="69243D3B" w14:textId="7595E011" w:rsidR="003C632B" w:rsidRPr="0014561E" w:rsidRDefault="00E35FA4" w:rsidP="003C632B">
            <w:pPr>
              <w:spacing w:before="120"/>
              <w:rPr>
                <w:rFonts w:eastAsia="Arial" w:cs="Noto Sans"/>
                <w:b/>
              </w:rPr>
            </w:pPr>
            <w:r w:rsidRPr="0014561E">
              <w:rPr>
                <w:rFonts w:eastAsia="Arial" w:cs="Noto Sans"/>
                <w:b/>
                <w:highlight w:val="cyan"/>
              </w:rPr>
              <w:t>(</w:t>
            </w:r>
            <w:r>
              <w:rPr>
                <w:rFonts w:eastAsia="Arial" w:cs="Noto Sans"/>
                <w:b/>
                <w:highlight w:val="cyan"/>
              </w:rPr>
              <w:t>T</w:t>
            </w:r>
            <w:r w:rsidRPr="0014561E">
              <w:rPr>
                <w:rFonts w:eastAsia="Arial" w:cs="Noto Sans"/>
                <w:b/>
                <w:highlight w:val="cyan"/>
              </w:rPr>
              <w:t>his entire instructions box is to be deleted before sending to potential suppliers):</w:t>
            </w:r>
            <w:r w:rsidR="003C632B" w:rsidRPr="0014561E">
              <w:rPr>
                <w:rFonts w:eastAsia="Arial" w:cs="Noto Sans"/>
                <w:b/>
              </w:rPr>
              <w:t xml:space="preserve"> </w:t>
            </w:r>
          </w:p>
          <w:p w14:paraId="0A3F09E4" w14:textId="77777777" w:rsidR="0014561E" w:rsidRPr="0014561E" w:rsidRDefault="0014561E" w:rsidP="0014561E">
            <w:pPr>
              <w:pStyle w:val="ListBullet"/>
              <w:numPr>
                <w:ilvl w:val="0"/>
                <w:numId w:val="29"/>
              </w:numPr>
              <w:spacing w:before="120" w:after="120" w:line="264" w:lineRule="auto"/>
              <w:rPr>
                <w:rFonts w:ascii="Noto Sans" w:hAnsi="Noto Sans" w:cs="Noto Sans"/>
                <w:color w:val="auto"/>
              </w:rPr>
            </w:pPr>
            <w:r w:rsidRPr="0014561E">
              <w:rPr>
                <w:rFonts w:ascii="Noto Sans" w:hAnsi="Noto Sans" w:cs="Noto Sans"/>
                <w:color w:val="auto"/>
              </w:rPr>
              <w:t xml:space="preserve">This is the standard Scope of Services for an Invitation to Offer (ITO) for the procurement Legal Services. </w:t>
            </w:r>
          </w:p>
          <w:p w14:paraId="2F6B2ACC" w14:textId="77777777" w:rsidR="0014561E" w:rsidRPr="0014561E" w:rsidRDefault="0014561E" w:rsidP="0014561E">
            <w:pPr>
              <w:pStyle w:val="ListBullet"/>
              <w:numPr>
                <w:ilvl w:val="0"/>
                <w:numId w:val="29"/>
              </w:numPr>
              <w:spacing w:before="120" w:after="120" w:line="264" w:lineRule="auto"/>
              <w:rPr>
                <w:rFonts w:ascii="Noto Sans" w:hAnsi="Noto Sans" w:cs="Noto Sans"/>
                <w:color w:val="auto"/>
              </w:rPr>
            </w:pPr>
            <w:r w:rsidRPr="0014561E">
              <w:rPr>
                <w:rFonts w:ascii="Noto Sans" w:hAnsi="Noto Sans" w:cs="Noto Sans"/>
                <w:color w:val="auto"/>
              </w:rPr>
              <w:t xml:space="preserve">Edit all </w:t>
            </w:r>
            <w:r w:rsidRPr="0014561E">
              <w:rPr>
                <w:rFonts w:ascii="Noto Sans" w:hAnsi="Noto Sans" w:cs="Noto Sans"/>
                <w:color w:val="auto"/>
                <w:highlight w:val="yellow"/>
              </w:rPr>
              <w:t>&lt;&lt;yellow highlighted&gt;&gt;</w:t>
            </w:r>
            <w:r w:rsidRPr="0014561E">
              <w:rPr>
                <w:rFonts w:ascii="Noto Sans" w:hAnsi="Noto Sans" w:cs="Noto Sans"/>
                <w:color w:val="auto"/>
              </w:rPr>
              <w:t xml:space="preserve"> sections - providing details relevant to of your agency’s requirements and remove all highlighting when complete.</w:t>
            </w:r>
          </w:p>
          <w:p w14:paraId="3D55AC13" w14:textId="77777777" w:rsidR="0014561E" w:rsidRPr="0014561E" w:rsidRDefault="0014561E" w:rsidP="0014561E">
            <w:pPr>
              <w:pStyle w:val="ListBullet"/>
              <w:numPr>
                <w:ilvl w:val="0"/>
                <w:numId w:val="29"/>
              </w:numPr>
              <w:spacing w:before="120" w:after="120" w:line="264" w:lineRule="auto"/>
              <w:rPr>
                <w:rFonts w:ascii="Noto Sans" w:hAnsi="Noto Sans" w:cs="Noto Sans"/>
                <w:color w:val="auto"/>
              </w:rPr>
            </w:pPr>
            <w:r w:rsidRPr="0014561E">
              <w:rPr>
                <w:rFonts w:ascii="Noto Sans" w:hAnsi="Noto Sans" w:cs="Noto Sans"/>
                <w:color w:val="auto"/>
              </w:rPr>
              <w:t xml:space="preserve">Delete all </w:t>
            </w:r>
            <w:r w:rsidRPr="0014561E">
              <w:rPr>
                <w:rFonts w:ascii="Noto Sans" w:hAnsi="Noto Sans" w:cs="Noto Sans"/>
                <w:color w:val="auto"/>
                <w:highlight w:val="cyan"/>
              </w:rPr>
              <w:t xml:space="preserve">cyan highlighted text </w:t>
            </w:r>
            <w:r w:rsidRPr="0014561E">
              <w:rPr>
                <w:rFonts w:ascii="Noto Sans" w:hAnsi="Noto Sans" w:cs="Noto Sans"/>
                <w:color w:val="auto"/>
              </w:rPr>
              <w:t>and references to Drafting Notes before issuing to potential suppliers.</w:t>
            </w:r>
          </w:p>
          <w:p w14:paraId="1AB7382F" w14:textId="77777777" w:rsidR="0014561E" w:rsidRPr="0014561E" w:rsidRDefault="0014561E" w:rsidP="0014561E">
            <w:pPr>
              <w:pStyle w:val="ListBullet"/>
              <w:numPr>
                <w:ilvl w:val="0"/>
                <w:numId w:val="29"/>
              </w:numPr>
              <w:spacing w:before="120" w:after="120" w:line="264" w:lineRule="auto"/>
              <w:rPr>
                <w:rFonts w:ascii="Noto Sans" w:hAnsi="Noto Sans" w:cs="Noto Sans"/>
                <w:color w:val="auto"/>
              </w:rPr>
            </w:pPr>
            <w:r w:rsidRPr="0014561E">
              <w:rPr>
                <w:rFonts w:ascii="Noto Sans" w:hAnsi="Noto Sans" w:cs="Noto Sans"/>
                <w:color w:val="auto"/>
              </w:rPr>
              <w:t xml:space="preserve">Careful consideration needs to be given to ensure the Scope of Services is tailored to suit the business case requirements. This document should be amended to reflect the known and/or anticipated requirements. </w:t>
            </w:r>
          </w:p>
          <w:p w14:paraId="01F33068" w14:textId="77777777" w:rsidR="0014561E" w:rsidRPr="0014561E" w:rsidRDefault="0014561E" w:rsidP="0014561E">
            <w:pPr>
              <w:pStyle w:val="ListBullet"/>
              <w:numPr>
                <w:ilvl w:val="0"/>
                <w:numId w:val="29"/>
              </w:numPr>
              <w:spacing w:before="120" w:after="120" w:line="264" w:lineRule="auto"/>
              <w:rPr>
                <w:rFonts w:ascii="Noto Sans" w:hAnsi="Noto Sans" w:cs="Noto Sans"/>
                <w:color w:val="auto"/>
              </w:rPr>
            </w:pPr>
            <w:r w:rsidRPr="0014561E">
              <w:rPr>
                <w:rFonts w:ascii="Noto Sans" w:hAnsi="Noto Sans" w:cs="Noto Sans"/>
                <w:color w:val="auto"/>
              </w:rPr>
              <w:t>The ITO cover sheet</w:t>
            </w:r>
            <w:r w:rsidRPr="0014561E">
              <w:rPr>
                <w:rFonts w:ascii="Noto Sans" w:hAnsi="Noto Sans" w:cs="Noto Sans"/>
                <w:b/>
                <w:bCs/>
                <w:color w:val="auto"/>
              </w:rPr>
              <w:t xml:space="preserve"> </w:t>
            </w:r>
            <w:r w:rsidRPr="0014561E">
              <w:rPr>
                <w:rFonts w:ascii="Noto Sans" w:hAnsi="Noto Sans" w:cs="Noto Sans"/>
                <w:color w:val="auto"/>
              </w:rPr>
              <w:t>should</w:t>
            </w:r>
            <w:r w:rsidRPr="0014561E">
              <w:rPr>
                <w:rFonts w:ascii="Noto Sans" w:hAnsi="Noto Sans" w:cs="Noto Sans"/>
                <w:b/>
                <w:bCs/>
                <w:color w:val="auto"/>
              </w:rPr>
              <w:t xml:space="preserve"> </w:t>
            </w:r>
            <w:r w:rsidRPr="0014561E">
              <w:rPr>
                <w:rFonts w:ascii="Noto Sans" w:hAnsi="Noto Sans" w:cs="Noto Sans"/>
                <w:color w:val="auto"/>
              </w:rPr>
              <w:t>address</w:t>
            </w:r>
            <w:r w:rsidRPr="0014561E">
              <w:rPr>
                <w:rFonts w:ascii="Noto Sans" w:hAnsi="Noto Sans" w:cs="Noto Sans"/>
                <w:b/>
                <w:bCs/>
                <w:color w:val="auto"/>
              </w:rPr>
              <w:t xml:space="preserve"> both</w:t>
            </w:r>
            <w:r w:rsidRPr="0014561E">
              <w:rPr>
                <w:rFonts w:ascii="Noto Sans" w:hAnsi="Noto Sans" w:cs="Noto Sans"/>
                <w:color w:val="auto"/>
              </w:rPr>
              <w:t xml:space="preserve"> generic information to the proposal (background, announcements, etc.) and ITO process information (closing dates, clarification process, evaluation criteria).</w:t>
            </w:r>
            <w:r w:rsidRPr="0014561E">
              <w:rPr>
                <w:rFonts w:ascii="Noto Sans" w:hAnsi="Noto Sans" w:cs="Noto Sans"/>
                <w:b/>
                <w:bCs/>
                <w:color w:val="auto"/>
              </w:rPr>
              <w:t xml:space="preserve"> </w:t>
            </w:r>
          </w:p>
          <w:p w14:paraId="6994A446" w14:textId="77777777" w:rsidR="0014561E" w:rsidRPr="0014561E" w:rsidRDefault="0014561E" w:rsidP="0014561E">
            <w:pPr>
              <w:pStyle w:val="ListBullet"/>
              <w:numPr>
                <w:ilvl w:val="0"/>
                <w:numId w:val="29"/>
              </w:numPr>
              <w:spacing w:before="120" w:after="120" w:line="264" w:lineRule="auto"/>
              <w:rPr>
                <w:rFonts w:ascii="Noto Sans" w:hAnsi="Noto Sans" w:cs="Noto Sans"/>
                <w:color w:val="auto"/>
              </w:rPr>
            </w:pPr>
            <w:r w:rsidRPr="0014561E">
              <w:rPr>
                <w:rFonts w:ascii="Noto Sans" w:hAnsi="Noto Sans" w:cs="Noto Sans"/>
                <w:color w:val="auto"/>
              </w:rPr>
              <w:t xml:space="preserve">This Scope of Services should only include information related to the </w:t>
            </w:r>
            <w:r w:rsidRPr="0014561E">
              <w:rPr>
                <w:rFonts w:ascii="Noto Sans" w:hAnsi="Noto Sans" w:cs="Noto Sans"/>
                <w:b/>
                <w:bCs/>
                <w:color w:val="auto"/>
              </w:rPr>
              <w:t>Legal Advisory Services</w:t>
            </w:r>
            <w:r w:rsidRPr="0014561E">
              <w:rPr>
                <w:rFonts w:ascii="Noto Sans" w:hAnsi="Noto Sans" w:cs="Noto Sans"/>
                <w:color w:val="auto"/>
              </w:rPr>
              <w:t xml:space="preserve"> role requirements in delivering the business case and is to be developed separately to the ITO cover sheet. </w:t>
            </w:r>
          </w:p>
          <w:p w14:paraId="066F0EDE" w14:textId="77777777" w:rsidR="0014561E" w:rsidRPr="0014561E" w:rsidRDefault="0014561E" w:rsidP="0014561E">
            <w:pPr>
              <w:pStyle w:val="ListBullet"/>
              <w:numPr>
                <w:ilvl w:val="0"/>
                <w:numId w:val="29"/>
              </w:numPr>
              <w:spacing w:before="120" w:after="120" w:line="264" w:lineRule="auto"/>
              <w:rPr>
                <w:rFonts w:ascii="Noto Sans" w:hAnsi="Noto Sans" w:cs="Noto Sans"/>
                <w:color w:val="auto"/>
              </w:rPr>
            </w:pPr>
            <w:r w:rsidRPr="0014561E">
              <w:rPr>
                <w:rFonts w:ascii="Noto Sans" w:hAnsi="Noto Sans" w:cs="Noto Sans"/>
                <w:color w:val="auto"/>
              </w:rPr>
              <w:t xml:space="preserve">Consideration should also be given to providing additional information that assists potential suppliers in responding to the ITO. Generally, providing greater detail means that suppliers are less likely to reflect perceived risks in the offer, which allows greater opportunity for better value for money offers. </w:t>
            </w:r>
          </w:p>
          <w:p w14:paraId="3865154C" w14:textId="77777777" w:rsidR="003C632B" w:rsidRPr="003C632B" w:rsidRDefault="003C632B" w:rsidP="003C632B">
            <w:pPr>
              <w:tabs>
                <w:tab w:val="left" w:pos="1134"/>
              </w:tabs>
              <w:spacing w:before="240"/>
              <w:outlineLvl w:val="3"/>
              <w:rPr>
                <w:rFonts w:eastAsia="Times New Roman" w:cs="Noto Sans"/>
                <w:bCs/>
                <w:iCs/>
                <w:sz w:val="28"/>
                <w:szCs w:val="24"/>
              </w:rPr>
            </w:pPr>
            <w:r w:rsidRPr="003C632B">
              <w:rPr>
                <w:rFonts w:eastAsia="Times New Roman" w:cs="Noto Sans"/>
                <w:bCs/>
                <w:iCs/>
                <w:sz w:val="28"/>
                <w:szCs w:val="24"/>
              </w:rPr>
              <w:t>Creative Commons licence</w:t>
            </w:r>
          </w:p>
          <w:p w14:paraId="18EECB0B" w14:textId="77777777" w:rsidR="003C632B" w:rsidRPr="003C632B" w:rsidRDefault="003C632B" w:rsidP="003C632B">
            <w:pPr>
              <w:spacing w:after="0"/>
              <w:contextualSpacing/>
              <w:rPr>
                <w:rFonts w:eastAsia="Arial" w:cs="Noto Sans"/>
                <w:sz w:val="16"/>
              </w:rPr>
            </w:pPr>
            <w:r w:rsidRPr="003C632B">
              <w:rPr>
                <w:rFonts w:eastAsia="Arial" w:cs="Noto Sans"/>
                <w:noProof/>
              </w:rPr>
              <w:drawing>
                <wp:anchor distT="0" distB="0" distL="114300" distR="114300" simplePos="0" relativeHeight="251658240" behindDoc="0" locked="0" layoutInCell="1" allowOverlap="1" wp14:anchorId="59F34557" wp14:editId="64B7F51E">
                  <wp:simplePos x="0" y="0"/>
                  <wp:positionH relativeFrom="column">
                    <wp:posOffset>1905</wp:posOffset>
                  </wp:positionH>
                  <wp:positionV relativeFrom="paragraph">
                    <wp:posOffset>5080</wp:posOffset>
                  </wp:positionV>
                  <wp:extent cx="956945" cy="337185"/>
                  <wp:effectExtent l="0" t="0" r="0" b="5715"/>
                  <wp:wrapSquare wrapText="bothSides"/>
                  <wp:docPr id="3" name="Picture 1" descr="Creative Commons Licenses - Creative Commons - Research Guides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s - Creative Commons - Research Guides a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6945" cy="337185"/>
                          </a:xfrm>
                          <a:prstGeom prst="rect">
                            <a:avLst/>
                          </a:prstGeom>
                          <a:noFill/>
                        </pic:spPr>
                      </pic:pic>
                    </a:graphicData>
                  </a:graphic>
                  <wp14:sizeRelH relativeFrom="page">
                    <wp14:pctWidth>0</wp14:pctWidth>
                  </wp14:sizeRelH>
                  <wp14:sizeRelV relativeFrom="page">
                    <wp14:pctHeight>0</wp14:pctHeight>
                  </wp14:sizeRelV>
                </wp:anchor>
              </w:drawing>
            </w:r>
            <w:r w:rsidRPr="003C632B">
              <w:rPr>
                <w:rFonts w:eastAsia="Arial" w:cs="Noto Sans"/>
                <w:sz w:val="16"/>
              </w:rPr>
              <w:t>This work is made available under the Creative Commons CC0 1.0 Universal Public Domain Dedication. The person who associated a work with this deed has waived all copyright and related or neighbouring rights to the work to the fullest extent possible under law</w:t>
            </w:r>
          </w:p>
          <w:p w14:paraId="1BF034F2" w14:textId="77777777" w:rsidR="003C632B" w:rsidRPr="003C632B" w:rsidRDefault="003C632B" w:rsidP="003C632B">
            <w:pPr>
              <w:spacing w:after="0"/>
              <w:contextualSpacing/>
              <w:rPr>
                <w:rFonts w:eastAsia="Arial" w:cs="Noto Sans"/>
                <w:sz w:val="16"/>
              </w:rPr>
            </w:pPr>
          </w:p>
          <w:p w14:paraId="692BFA7C" w14:textId="77777777" w:rsidR="003C632B" w:rsidRPr="003C632B" w:rsidRDefault="003C632B" w:rsidP="003C632B">
            <w:pPr>
              <w:spacing w:after="0"/>
              <w:contextualSpacing/>
              <w:rPr>
                <w:rFonts w:ascii="Arial" w:eastAsia="Arial" w:hAnsi="Arial"/>
                <w:sz w:val="16"/>
              </w:rPr>
            </w:pPr>
            <w:r w:rsidRPr="003C632B">
              <w:rPr>
                <w:rFonts w:eastAsia="Arial" w:cs="Noto Sans"/>
                <w:sz w:val="16"/>
              </w:rPr>
              <w:t>Third party material that is not licensed under a Creative Commons licence is referenced within this document. All content not licensed under a Creative Commons licence is all rights reserved. Please contact the copyright owner if you wish to use this material</w:t>
            </w:r>
            <w:r w:rsidRPr="003C632B">
              <w:rPr>
                <w:rFonts w:ascii="Arial" w:eastAsia="Arial" w:hAnsi="Arial"/>
                <w:sz w:val="16"/>
              </w:rPr>
              <w:t>.</w:t>
            </w:r>
          </w:p>
          <w:p w14:paraId="57354754" w14:textId="77777777" w:rsidR="003C632B" w:rsidRPr="003C632B" w:rsidRDefault="003C632B" w:rsidP="003C632B">
            <w:pPr>
              <w:spacing w:after="0"/>
              <w:contextualSpacing/>
              <w:rPr>
                <w:rFonts w:ascii="Arial" w:eastAsia="Arial" w:hAnsi="Arial"/>
                <w:sz w:val="16"/>
              </w:rPr>
            </w:pPr>
          </w:p>
        </w:tc>
      </w:tr>
    </w:tbl>
    <w:p w14:paraId="42A82B87" w14:textId="77777777" w:rsidR="00EC52A1" w:rsidRDefault="00EC52A1" w:rsidP="00EC52A1"/>
    <w:p w14:paraId="0390A8B5" w14:textId="7EB2CDE8" w:rsidR="003C632B" w:rsidRPr="003C632B" w:rsidRDefault="003C632B" w:rsidP="006E639F">
      <w:pPr>
        <w:pStyle w:val="Heading1"/>
        <w:keepNext/>
        <w:widowControl/>
        <w:numPr>
          <w:ilvl w:val="0"/>
          <w:numId w:val="41"/>
        </w:numPr>
      </w:pPr>
      <w:r w:rsidRPr="003C632B">
        <w:lastRenderedPageBreak/>
        <w:t>Purpose</w:t>
      </w:r>
    </w:p>
    <w:p w14:paraId="4659BA4E" w14:textId="60F4DE28" w:rsidR="00EC52A1" w:rsidRPr="00E451F8" w:rsidRDefault="005C4B83" w:rsidP="006E639F">
      <w:pPr>
        <w:pStyle w:val="BodyText"/>
        <w:keepNext/>
        <w:rPr>
          <w:rFonts w:ascii="Noto Sans" w:hAnsi="Noto Sans" w:cs="Noto Sans"/>
          <w:color w:val="auto"/>
        </w:rPr>
      </w:pPr>
      <w:r w:rsidRPr="00352363">
        <w:rPr>
          <w:rFonts w:ascii="Noto Sans" w:hAnsi="Noto Sans" w:cs="Noto Sans"/>
          <w:color w:val="auto"/>
        </w:rPr>
        <w:t xml:space="preserve">This Scope of Services for </w:t>
      </w:r>
      <w:r w:rsidRPr="00352363">
        <w:rPr>
          <w:rFonts w:ascii="Noto Sans" w:hAnsi="Noto Sans" w:cs="Noto Sans"/>
          <w:color w:val="auto"/>
          <w:highlight w:val="yellow"/>
        </w:rPr>
        <w:t>Legal Advisory</w:t>
      </w:r>
      <w:r w:rsidRPr="00352363">
        <w:rPr>
          <w:rFonts w:ascii="Noto Sans" w:hAnsi="Noto Sans" w:cs="Noto Sans"/>
          <w:color w:val="auto"/>
        </w:rPr>
        <w:t xml:space="preserve"> services provides the detailed requirements for the engagement and should be read in conjunction with other Invitation to Offer (ITO) documentation (provided separately) to guide the preparation of a </w:t>
      </w:r>
      <w:r w:rsidR="00352363" w:rsidRPr="00352363">
        <w:rPr>
          <w:rFonts w:ascii="Noto Sans" w:hAnsi="Noto Sans" w:cs="Noto Sans"/>
          <w:color w:val="auto"/>
        </w:rPr>
        <w:t>tender proposal</w:t>
      </w:r>
      <w:r w:rsidRPr="00352363">
        <w:rPr>
          <w:rFonts w:ascii="Noto Sans" w:hAnsi="Noto Sans" w:cs="Noto Sans"/>
          <w:color w:val="auto"/>
        </w:rPr>
        <w:t xml:space="preserve">. </w:t>
      </w:r>
    </w:p>
    <w:p w14:paraId="4FD1F6C1" w14:textId="0773A1A5" w:rsidR="003C632B" w:rsidRPr="003C632B" w:rsidRDefault="003C632B" w:rsidP="006E639F">
      <w:pPr>
        <w:pStyle w:val="Heading1"/>
        <w:keepNext/>
        <w:widowControl/>
        <w:numPr>
          <w:ilvl w:val="0"/>
          <w:numId w:val="42"/>
        </w:numPr>
      </w:pPr>
      <w:r w:rsidRPr="003C632B">
        <w:t>Scope of Services</w:t>
      </w:r>
    </w:p>
    <w:p w14:paraId="44F4351C" w14:textId="10E465A0" w:rsidR="003C632B" w:rsidRPr="003C632B" w:rsidRDefault="003C632B" w:rsidP="006E639F">
      <w:pPr>
        <w:pStyle w:val="Heading2"/>
        <w:keepNext/>
        <w:numPr>
          <w:ilvl w:val="1"/>
          <w:numId w:val="42"/>
        </w:numPr>
        <w:rPr>
          <w:rFonts w:eastAsia="Times New Roman"/>
        </w:rPr>
      </w:pPr>
      <w:r w:rsidRPr="003C632B">
        <w:rPr>
          <w:rFonts w:eastAsia="Times New Roman"/>
        </w:rPr>
        <w:t>Introduction</w:t>
      </w:r>
    </w:p>
    <w:p w14:paraId="4AD48D29" w14:textId="75A39B74" w:rsidR="00E451F8" w:rsidRPr="00F902EF" w:rsidRDefault="009E6AA2" w:rsidP="009E6AA2">
      <w:pPr>
        <w:pStyle w:val="BodyText"/>
        <w:rPr>
          <w:rFonts w:ascii="Noto Sans" w:hAnsi="Noto Sans" w:cs="Noto Sans"/>
          <w:color w:val="auto"/>
          <w:highlight w:val="cyan"/>
        </w:rPr>
      </w:pPr>
      <w:r w:rsidRPr="00F902EF">
        <w:rPr>
          <w:rFonts w:ascii="Noto Sans" w:hAnsi="Noto Sans" w:cs="Noto Sans"/>
          <w:color w:val="auto"/>
        </w:rPr>
        <w:t xml:space="preserve">The </w:t>
      </w:r>
      <w:r w:rsidRPr="00F902EF">
        <w:rPr>
          <w:rFonts w:ascii="Noto Sans" w:hAnsi="Noto Sans" w:cs="Noto Sans"/>
          <w:color w:val="auto"/>
          <w:highlight w:val="yellow"/>
        </w:rPr>
        <w:t>Legal Advisor</w:t>
      </w:r>
      <w:r w:rsidRPr="00F902EF">
        <w:rPr>
          <w:rFonts w:ascii="Noto Sans" w:hAnsi="Noto Sans" w:cs="Noto Sans"/>
          <w:color w:val="auto"/>
        </w:rPr>
        <w:t xml:space="preserve"> will work in collaboration with </w:t>
      </w:r>
      <w:r w:rsidRPr="00F902EF">
        <w:rPr>
          <w:rFonts w:ascii="Noto Sans" w:hAnsi="Noto Sans" w:cs="Noto Sans"/>
          <w:color w:val="auto"/>
          <w:highlight w:val="yellow"/>
        </w:rPr>
        <w:t>&lt;&lt;Agency Name&gt;&gt;</w:t>
      </w:r>
      <w:r w:rsidRPr="00F902EF">
        <w:rPr>
          <w:rFonts w:ascii="Noto Sans" w:hAnsi="Noto Sans" w:cs="Noto Sans"/>
          <w:color w:val="auto"/>
        </w:rPr>
        <w:t xml:space="preserve"> to development of the </w:t>
      </w:r>
      <w:r w:rsidRPr="00F902EF">
        <w:rPr>
          <w:rFonts w:ascii="Noto Sans" w:hAnsi="Noto Sans" w:cs="Noto Sans"/>
          <w:color w:val="auto"/>
          <w:highlight w:val="yellow"/>
        </w:rPr>
        <w:t>&lt;&lt;Business Case Name&gt;&gt;</w:t>
      </w:r>
      <w:r w:rsidRPr="00F902EF">
        <w:rPr>
          <w:rFonts w:ascii="Noto Sans" w:hAnsi="Noto Sans" w:cs="Noto Sans"/>
          <w:color w:val="auto"/>
        </w:rPr>
        <w:t xml:space="preserve"> in accordance with the Business Case Development Framework (BCDF) (see www.statedevelopment.qld.gov.au/industry/infrastructure for more details) </w:t>
      </w:r>
      <w:r w:rsidRPr="00F902EF">
        <w:rPr>
          <w:rFonts w:ascii="Noto Sans" w:hAnsi="Noto Sans" w:cs="Noto Sans"/>
          <w:color w:val="auto"/>
          <w:highlight w:val="yellow"/>
        </w:rPr>
        <w:t xml:space="preserve">and Infrastructure Australia’s Assessment Framework </w:t>
      </w:r>
      <w:r w:rsidRPr="00F902EF">
        <w:rPr>
          <w:rFonts w:ascii="Noto Sans" w:hAnsi="Noto Sans" w:cs="Noto Sans"/>
          <w:color w:val="auto"/>
          <w:highlight w:val="cyan"/>
        </w:rPr>
        <w:t>(only for projects that will be submitted to Infrastructure Australia e.g. major roads).</w:t>
      </w:r>
    </w:p>
    <w:p w14:paraId="7418A469" w14:textId="77777777" w:rsidR="003C632B" w:rsidRPr="003C632B" w:rsidRDefault="003C632B" w:rsidP="006E639F">
      <w:pPr>
        <w:pStyle w:val="Heading2"/>
        <w:numPr>
          <w:ilvl w:val="1"/>
          <w:numId w:val="42"/>
        </w:numPr>
        <w:rPr>
          <w:rFonts w:eastAsia="Times New Roman"/>
        </w:rPr>
      </w:pPr>
      <w:r w:rsidRPr="003C632B">
        <w:rPr>
          <w:rFonts w:eastAsia="Times New Roman"/>
        </w:rPr>
        <w:t>Background</w:t>
      </w:r>
    </w:p>
    <w:p w14:paraId="52BADDE5" w14:textId="1F141D81" w:rsidR="00E451F8" w:rsidRPr="003C632B" w:rsidRDefault="00DC7BE5" w:rsidP="003C632B">
      <w:pPr>
        <w:spacing w:before="120"/>
        <w:ind w:right="113"/>
        <w:rPr>
          <w:rFonts w:eastAsia="Arial" w:cs="Noto Sans"/>
          <w:szCs w:val="18"/>
          <w:highlight w:val="cyan"/>
        </w:rPr>
      </w:pPr>
      <w:r>
        <w:rPr>
          <w:rFonts w:eastAsia="Arial" w:cs="Noto Sans"/>
          <w:szCs w:val="18"/>
          <w:highlight w:val="cyan"/>
        </w:rPr>
        <w:t>[</w:t>
      </w:r>
      <w:r w:rsidR="003C632B" w:rsidRPr="003C632B">
        <w:rPr>
          <w:rFonts w:eastAsia="Arial" w:cs="Noto Sans"/>
          <w:szCs w:val="18"/>
          <w:highlight w:val="cyan"/>
        </w:rPr>
        <w:t>Outline background of the project and detail its scope to ensure the accurate formulation of relevant quotations</w:t>
      </w:r>
      <w:r>
        <w:rPr>
          <w:rFonts w:eastAsia="Arial" w:cs="Noto Sans"/>
          <w:szCs w:val="18"/>
          <w:highlight w:val="cyan"/>
        </w:rPr>
        <w:t>.]</w:t>
      </w:r>
    </w:p>
    <w:p w14:paraId="6A7DF847" w14:textId="37CA2D87" w:rsidR="003C632B" w:rsidRDefault="003C632B" w:rsidP="00035F7D">
      <w:pPr>
        <w:pStyle w:val="Heading1"/>
        <w:keepNext/>
        <w:widowControl/>
        <w:numPr>
          <w:ilvl w:val="0"/>
          <w:numId w:val="42"/>
        </w:numPr>
      </w:pPr>
      <w:r w:rsidRPr="003C632B">
        <w:t xml:space="preserve">Key </w:t>
      </w:r>
      <w:r w:rsidR="003C4DFA">
        <w:t>a</w:t>
      </w:r>
      <w:r w:rsidRPr="003C632B">
        <w:t xml:space="preserve">ctivities and </w:t>
      </w:r>
      <w:r w:rsidR="003C4DFA">
        <w:t>d</w:t>
      </w:r>
      <w:r w:rsidRPr="003C632B">
        <w:t>eliverables</w:t>
      </w:r>
    </w:p>
    <w:p w14:paraId="02342416" w14:textId="7E6C8A1C" w:rsidR="002710E9" w:rsidRDefault="002710E9" w:rsidP="00035F7D">
      <w:pPr>
        <w:pStyle w:val="Heading2"/>
        <w:keepNext/>
        <w:numPr>
          <w:ilvl w:val="1"/>
          <w:numId w:val="42"/>
        </w:numPr>
        <w:rPr>
          <w:lang w:val="en-GB"/>
        </w:rPr>
      </w:pPr>
      <w:r>
        <w:rPr>
          <w:lang w:val="en-GB"/>
        </w:rPr>
        <w:t xml:space="preserve">Initiation </w:t>
      </w:r>
      <w:r w:rsidR="003C4DFA">
        <w:rPr>
          <w:lang w:val="en-GB"/>
        </w:rPr>
        <w:t>p</w:t>
      </w:r>
      <w:r>
        <w:rPr>
          <w:lang w:val="en-GB"/>
        </w:rPr>
        <w:t xml:space="preserve">hase </w:t>
      </w:r>
      <w:r w:rsidR="003C4DFA">
        <w:rPr>
          <w:lang w:val="en-GB"/>
        </w:rPr>
        <w:t>k</w:t>
      </w:r>
      <w:r>
        <w:rPr>
          <w:lang w:val="en-GB"/>
        </w:rPr>
        <w:t xml:space="preserve">ey </w:t>
      </w:r>
      <w:r w:rsidR="003C4DFA">
        <w:rPr>
          <w:lang w:val="en-GB"/>
        </w:rPr>
        <w:t>a</w:t>
      </w:r>
      <w:r>
        <w:rPr>
          <w:lang w:val="en-GB"/>
        </w:rPr>
        <w:t xml:space="preserve">ctivities and </w:t>
      </w:r>
      <w:r w:rsidR="003C4DFA">
        <w:rPr>
          <w:lang w:val="en-GB"/>
        </w:rPr>
        <w:t>d</w:t>
      </w:r>
      <w:r>
        <w:rPr>
          <w:lang w:val="en-GB"/>
        </w:rPr>
        <w:t xml:space="preserve">eliverables </w:t>
      </w:r>
    </w:p>
    <w:p w14:paraId="7A2B7C39" w14:textId="5DC30BC0" w:rsidR="002C64E6" w:rsidRPr="00BB72E5" w:rsidRDefault="002C64E6" w:rsidP="002C64E6">
      <w:pPr>
        <w:rPr>
          <w:rFonts w:eastAsia="Arial" w:cs="Noto Sans"/>
          <w:szCs w:val="18"/>
        </w:rPr>
      </w:pPr>
      <w:hyperlink r:id="rId12" w:anchor="_bookmark1" w:history="1">
        <w:r w:rsidRPr="00BB72E5">
          <w:rPr>
            <w:rFonts w:eastAsia="Arial" w:cs="Noto Sans"/>
            <w:szCs w:val="18"/>
          </w:rPr>
          <w:t xml:space="preserve">Table 1 </w:t>
        </w:r>
      </w:hyperlink>
      <w:r w:rsidRPr="00BB72E5">
        <w:rPr>
          <w:rFonts w:eastAsia="Arial" w:cs="Noto Sans"/>
          <w:szCs w:val="18"/>
        </w:rPr>
        <w:t>outlines the key activities and deliverables associated with the initiation phase</w:t>
      </w:r>
      <w:bookmarkStart w:id="0" w:name="_bookmark1"/>
      <w:bookmarkEnd w:id="0"/>
      <w:r w:rsidRPr="00BB72E5">
        <w:rPr>
          <w:rFonts w:eastAsia="Arial" w:cs="Noto Sans"/>
          <w:szCs w:val="18"/>
        </w:rPr>
        <w:t xml:space="preserve">. </w:t>
      </w:r>
    </w:p>
    <w:p w14:paraId="7149A166" w14:textId="77777777" w:rsidR="002C64E6" w:rsidRPr="002C64E6" w:rsidRDefault="002C64E6" w:rsidP="002C64E6">
      <w:pPr>
        <w:spacing w:before="120"/>
        <w:rPr>
          <w:rFonts w:eastAsia="Arial" w:cs="Noto Sans"/>
          <w:b/>
          <w:bCs/>
          <w:szCs w:val="18"/>
        </w:rPr>
      </w:pPr>
      <w:r w:rsidRPr="002C64E6">
        <w:rPr>
          <w:rFonts w:eastAsia="Arial" w:cs="Noto Sans"/>
          <w:b/>
          <w:bCs/>
          <w:szCs w:val="18"/>
        </w:rPr>
        <w:t>Table 1: Initiation Phase Key Activities and Deliverables</w:t>
      </w:r>
    </w:p>
    <w:tbl>
      <w:tblPr>
        <w:tblStyle w:val="Table-QldBlue"/>
        <w:tblW w:w="0" w:type="auto"/>
        <w:tblLayout w:type="fixed"/>
        <w:tblLook w:val="01E0" w:firstRow="1" w:lastRow="1" w:firstColumn="1" w:lastColumn="1" w:noHBand="0" w:noVBand="0"/>
      </w:tblPr>
      <w:tblGrid>
        <w:gridCol w:w="2263"/>
        <w:gridCol w:w="3686"/>
        <w:gridCol w:w="3682"/>
      </w:tblGrid>
      <w:tr w:rsidR="002C64E6" w:rsidRPr="002C64E6" w14:paraId="6D84EA9A" w14:textId="77777777" w:rsidTr="00765B6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263" w:type="dxa"/>
            <w:hideMark/>
          </w:tcPr>
          <w:p w14:paraId="30C1B6AC" w14:textId="5AB82369" w:rsidR="002C64E6" w:rsidRPr="002C64E6" w:rsidRDefault="00765B6A" w:rsidP="002C64E6">
            <w:pPr>
              <w:tabs>
                <w:tab w:val="left" w:pos="10206"/>
              </w:tabs>
              <w:spacing w:before="119" w:line="264" w:lineRule="auto"/>
              <w:ind w:left="142" w:right="-2"/>
              <w:rPr>
                <w:rFonts w:eastAsia="Arial" w:cs="Noto Sans"/>
                <w:bCs/>
                <w:color w:val="FFFFFF" w:themeColor="background1"/>
                <w:szCs w:val="18"/>
              </w:rPr>
            </w:pPr>
            <w:r w:rsidRPr="002C64E6">
              <w:rPr>
                <w:rFonts w:eastAsia="Arial" w:cs="Noto Sans"/>
                <w:bCs/>
                <w:color w:val="FFFFFF" w:themeColor="background1"/>
                <w:szCs w:val="18"/>
              </w:rPr>
              <w:t xml:space="preserve">Initiation </w:t>
            </w:r>
            <w:r w:rsidR="003C4DFA">
              <w:rPr>
                <w:rFonts w:eastAsia="Arial" w:cs="Noto Sans"/>
                <w:bCs/>
                <w:color w:val="FFFFFF" w:themeColor="background1"/>
                <w:szCs w:val="18"/>
              </w:rPr>
              <w:t>p</w:t>
            </w:r>
            <w:r w:rsidRPr="002C64E6">
              <w:rPr>
                <w:rFonts w:eastAsia="Arial" w:cs="Noto Sans"/>
                <w:bCs/>
                <w:color w:val="FFFFFF" w:themeColor="background1"/>
                <w:szCs w:val="18"/>
              </w:rPr>
              <w:t>hase</w:t>
            </w:r>
          </w:p>
        </w:tc>
        <w:tc>
          <w:tcPr>
            <w:tcW w:w="3686" w:type="dxa"/>
            <w:hideMark/>
          </w:tcPr>
          <w:p w14:paraId="1289BEA0" w14:textId="4D6345E8" w:rsidR="002C64E6" w:rsidRPr="002C64E6" w:rsidRDefault="00765B6A" w:rsidP="002C64E6">
            <w:pPr>
              <w:tabs>
                <w:tab w:val="left" w:pos="10206"/>
              </w:tabs>
              <w:spacing w:before="119" w:line="264" w:lineRule="auto"/>
              <w:ind w:left="142" w:right="-2"/>
              <w:cnfStyle w:val="100000000000" w:firstRow="1" w:lastRow="0" w:firstColumn="0" w:lastColumn="0" w:oddVBand="0" w:evenVBand="0" w:oddHBand="0" w:evenHBand="0" w:firstRowFirstColumn="0" w:firstRowLastColumn="0" w:lastRowFirstColumn="0" w:lastRowLastColumn="0"/>
              <w:rPr>
                <w:rFonts w:eastAsia="Arial" w:cs="Noto Sans"/>
                <w:bCs/>
                <w:color w:val="FFFFFF" w:themeColor="background1"/>
                <w:szCs w:val="18"/>
              </w:rPr>
            </w:pPr>
            <w:r w:rsidRPr="002C64E6">
              <w:rPr>
                <w:rFonts w:eastAsia="Arial" w:cs="Noto Sans"/>
                <w:bCs/>
                <w:color w:val="FFFFFF" w:themeColor="background1"/>
                <w:szCs w:val="18"/>
              </w:rPr>
              <w:t xml:space="preserve">Key </w:t>
            </w:r>
            <w:r w:rsidR="003C4DFA">
              <w:rPr>
                <w:rFonts w:eastAsia="Arial" w:cs="Noto Sans"/>
                <w:bCs/>
                <w:color w:val="FFFFFF" w:themeColor="background1"/>
                <w:szCs w:val="18"/>
              </w:rPr>
              <w:t>ac</w:t>
            </w:r>
            <w:r w:rsidRPr="002C64E6">
              <w:rPr>
                <w:rFonts w:eastAsia="Arial" w:cs="Noto Sans"/>
                <w:bCs/>
                <w:color w:val="FFFFFF" w:themeColor="background1"/>
                <w:szCs w:val="18"/>
              </w:rPr>
              <w:t>tivities</w:t>
            </w:r>
          </w:p>
        </w:tc>
        <w:tc>
          <w:tcPr>
            <w:tcW w:w="3682" w:type="dxa"/>
            <w:hideMark/>
          </w:tcPr>
          <w:p w14:paraId="4962C74E" w14:textId="29272B64" w:rsidR="002C64E6" w:rsidRPr="002C64E6" w:rsidRDefault="00765B6A" w:rsidP="002C64E6">
            <w:pPr>
              <w:tabs>
                <w:tab w:val="left" w:pos="10206"/>
              </w:tabs>
              <w:spacing w:before="119" w:line="264" w:lineRule="auto"/>
              <w:ind w:left="142" w:right="-2"/>
              <w:cnfStyle w:val="100000000000" w:firstRow="1" w:lastRow="0" w:firstColumn="0" w:lastColumn="0" w:oddVBand="0" w:evenVBand="0" w:oddHBand="0" w:evenHBand="0" w:firstRowFirstColumn="0" w:firstRowLastColumn="0" w:lastRowFirstColumn="0" w:lastRowLastColumn="0"/>
              <w:rPr>
                <w:rFonts w:eastAsia="Arial" w:cs="Noto Sans"/>
                <w:bCs/>
                <w:color w:val="FFFFFF" w:themeColor="background1"/>
                <w:szCs w:val="18"/>
              </w:rPr>
            </w:pPr>
            <w:r w:rsidRPr="002C64E6">
              <w:rPr>
                <w:rFonts w:eastAsia="Arial" w:cs="Noto Sans"/>
                <w:bCs/>
                <w:color w:val="FFFFFF" w:themeColor="background1"/>
                <w:szCs w:val="18"/>
              </w:rPr>
              <w:t>Deliverables</w:t>
            </w:r>
          </w:p>
        </w:tc>
      </w:tr>
      <w:tr w:rsidR="002C64E6" w:rsidRPr="002C64E6" w14:paraId="689015D0" w14:textId="77777777" w:rsidTr="00765B6A">
        <w:trPr>
          <w:trHeight w:val="1046"/>
        </w:trPr>
        <w:tc>
          <w:tcPr>
            <w:cnfStyle w:val="001000000000" w:firstRow="0" w:lastRow="0" w:firstColumn="1" w:lastColumn="0" w:oddVBand="0" w:evenVBand="0" w:oddHBand="0" w:evenHBand="0" w:firstRowFirstColumn="0" w:firstRowLastColumn="0" w:lastRowFirstColumn="0" w:lastRowLastColumn="0"/>
            <w:tcW w:w="2263" w:type="dxa"/>
            <w:hideMark/>
          </w:tcPr>
          <w:p w14:paraId="1F290C09" w14:textId="77777777" w:rsidR="002C64E6" w:rsidRPr="002C64E6" w:rsidRDefault="002C64E6" w:rsidP="002C64E6">
            <w:pPr>
              <w:spacing w:before="120"/>
              <w:ind w:left="142"/>
              <w:rPr>
                <w:rFonts w:eastAsia="Arial" w:cs="Noto Sans"/>
                <w:szCs w:val="18"/>
              </w:rPr>
            </w:pPr>
            <w:r w:rsidRPr="002C64E6">
              <w:rPr>
                <w:rFonts w:eastAsia="Arial" w:cs="Noto Sans"/>
                <w:szCs w:val="18"/>
              </w:rPr>
              <w:t>Planning</w:t>
            </w:r>
          </w:p>
        </w:tc>
        <w:tc>
          <w:tcPr>
            <w:tcW w:w="3686" w:type="dxa"/>
            <w:hideMark/>
          </w:tcPr>
          <w:p w14:paraId="04BF72F1" w14:textId="77777777" w:rsidR="002C64E6" w:rsidRPr="002C64E6" w:rsidRDefault="002C64E6" w:rsidP="002C64E6">
            <w:pPr>
              <w:numPr>
                <w:ilvl w:val="0"/>
                <w:numId w:val="31"/>
              </w:numPr>
              <w:spacing w:before="120"/>
              <w:ind w:left="425"/>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2C64E6">
              <w:rPr>
                <w:rFonts w:eastAsia="Arial" w:cs="Noto Sans"/>
                <w:szCs w:val="18"/>
              </w:rPr>
              <w:t>Scheduling.</w:t>
            </w:r>
          </w:p>
          <w:p w14:paraId="3FA92778" w14:textId="77777777" w:rsidR="002C64E6" w:rsidRPr="002C64E6" w:rsidRDefault="002C64E6" w:rsidP="002C64E6">
            <w:pPr>
              <w:numPr>
                <w:ilvl w:val="0"/>
                <w:numId w:val="31"/>
              </w:numPr>
              <w:spacing w:before="120"/>
              <w:ind w:left="425"/>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2C64E6">
              <w:rPr>
                <w:rFonts w:eastAsia="Arial" w:cs="Noto Sans"/>
                <w:szCs w:val="18"/>
              </w:rPr>
              <w:t>Risk and issue review.</w:t>
            </w:r>
          </w:p>
          <w:p w14:paraId="575C0EF8" w14:textId="77777777" w:rsidR="002C64E6" w:rsidRPr="002C64E6" w:rsidRDefault="002C64E6" w:rsidP="002C64E6">
            <w:pPr>
              <w:numPr>
                <w:ilvl w:val="0"/>
                <w:numId w:val="31"/>
              </w:numPr>
              <w:spacing w:before="120"/>
              <w:ind w:left="425"/>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2C64E6">
              <w:rPr>
                <w:rFonts w:eastAsia="Arial" w:cs="Noto Sans"/>
                <w:szCs w:val="18"/>
              </w:rPr>
              <w:t>Review of project documentation.</w:t>
            </w:r>
          </w:p>
        </w:tc>
        <w:tc>
          <w:tcPr>
            <w:tcW w:w="3682" w:type="dxa"/>
            <w:hideMark/>
          </w:tcPr>
          <w:p w14:paraId="01B71AE9" w14:textId="77777777" w:rsidR="002C64E6" w:rsidRPr="002C64E6" w:rsidRDefault="002C64E6" w:rsidP="002C64E6">
            <w:pPr>
              <w:numPr>
                <w:ilvl w:val="0"/>
                <w:numId w:val="31"/>
              </w:numPr>
              <w:spacing w:before="120"/>
              <w:ind w:left="425"/>
              <w:cnfStyle w:val="000000000000" w:firstRow="0" w:lastRow="0" w:firstColumn="0" w:lastColumn="0" w:oddVBand="0" w:evenVBand="0" w:oddHBand="0" w:evenHBand="0" w:firstRowFirstColumn="0" w:firstRowLastColumn="0" w:lastRowFirstColumn="0" w:lastRowLastColumn="0"/>
              <w:rPr>
                <w:rFonts w:eastAsia="Arial" w:cs="Noto Sans"/>
                <w:szCs w:val="18"/>
              </w:rPr>
            </w:pPr>
            <w:r w:rsidRPr="002C64E6">
              <w:rPr>
                <w:rFonts w:eastAsia="Arial" w:cs="Noto Sans"/>
                <w:szCs w:val="18"/>
              </w:rPr>
              <w:t>Identify the legal and regulatory issues applicable to the Project.</w:t>
            </w:r>
          </w:p>
        </w:tc>
      </w:tr>
      <w:tr w:rsidR="002C64E6" w:rsidRPr="002C64E6" w14:paraId="25FEDD7C" w14:textId="77777777" w:rsidTr="00765B6A">
        <w:trPr>
          <w:cnfStyle w:val="010000000000" w:firstRow="0" w:lastRow="1" w:firstColumn="0" w:lastColumn="0" w:oddVBand="0" w:evenVBand="0" w:oddHBand="0" w:evenHBand="0" w:firstRowFirstColumn="0" w:firstRowLastColumn="0" w:lastRowFirstColumn="0" w:lastRowLastColumn="0"/>
          <w:trHeight w:val="1182"/>
        </w:trPr>
        <w:tc>
          <w:tcPr>
            <w:cnfStyle w:val="001000000000" w:firstRow="0" w:lastRow="0" w:firstColumn="1" w:lastColumn="0" w:oddVBand="0" w:evenVBand="0" w:oddHBand="0" w:evenHBand="0" w:firstRowFirstColumn="0" w:firstRowLastColumn="0" w:lastRowFirstColumn="0" w:lastRowLastColumn="0"/>
            <w:tcW w:w="2263" w:type="dxa"/>
            <w:hideMark/>
          </w:tcPr>
          <w:p w14:paraId="7AA1BD1B" w14:textId="77777777" w:rsidR="002C64E6" w:rsidRPr="002C64E6" w:rsidRDefault="002C64E6" w:rsidP="002C64E6">
            <w:pPr>
              <w:spacing w:before="120"/>
              <w:ind w:left="142"/>
              <w:rPr>
                <w:rFonts w:eastAsia="Arial" w:cs="Noto Sans"/>
                <w:szCs w:val="18"/>
              </w:rPr>
            </w:pPr>
            <w:r w:rsidRPr="002C64E6">
              <w:rPr>
                <w:rFonts w:eastAsia="Arial" w:cs="Noto Sans"/>
                <w:szCs w:val="18"/>
              </w:rPr>
              <w:t>Site Selection</w:t>
            </w:r>
          </w:p>
        </w:tc>
        <w:tc>
          <w:tcPr>
            <w:tcW w:w="3686" w:type="dxa"/>
            <w:hideMark/>
          </w:tcPr>
          <w:p w14:paraId="29E09EE9" w14:textId="77777777" w:rsidR="002C64E6" w:rsidRPr="002C64E6" w:rsidRDefault="002C64E6" w:rsidP="002C64E6">
            <w:pPr>
              <w:numPr>
                <w:ilvl w:val="0"/>
                <w:numId w:val="31"/>
              </w:numPr>
              <w:spacing w:before="120"/>
              <w:ind w:left="425"/>
              <w:cnfStyle w:val="010000000000" w:firstRow="0" w:lastRow="1" w:firstColumn="0" w:lastColumn="0" w:oddVBand="0" w:evenVBand="0" w:oddHBand="0" w:evenHBand="0" w:firstRowFirstColumn="0" w:firstRowLastColumn="0" w:lastRowFirstColumn="0" w:lastRowLastColumn="0"/>
              <w:rPr>
                <w:rFonts w:eastAsia="Arial" w:cs="Noto Sans"/>
                <w:szCs w:val="18"/>
              </w:rPr>
            </w:pPr>
            <w:r w:rsidRPr="002C64E6">
              <w:rPr>
                <w:rFonts w:eastAsia="Arial" w:cs="Noto Sans"/>
                <w:szCs w:val="18"/>
              </w:rPr>
              <w:t>General advice to Business Case Management Services team.</w:t>
            </w:r>
          </w:p>
        </w:tc>
        <w:tc>
          <w:tcPr>
            <w:tcW w:w="3682" w:type="dxa"/>
            <w:hideMark/>
          </w:tcPr>
          <w:p w14:paraId="293D0BEA" w14:textId="77777777" w:rsidR="002C64E6" w:rsidRPr="002C64E6" w:rsidRDefault="002C64E6" w:rsidP="002C64E6">
            <w:pPr>
              <w:numPr>
                <w:ilvl w:val="0"/>
                <w:numId w:val="31"/>
              </w:numPr>
              <w:spacing w:before="120"/>
              <w:ind w:left="425"/>
              <w:cnfStyle w:val="010000000000" w:firstRow="0" w:lastRow="1" w:firstColumn="0" w:lastColumn="0" w:oddVBand="0" w:evenVBand="0" w:oddHBand="0" w:evenHBand="0" w:firstRowFirstColumn="0" w:firstRowLastColumn="0" w:lastRowFirstColumn="0" w:lastRowLastColumn="0"/>
              <w:rPr>
                <w:rFonts w:eastAsia="Arial" w:cs="Noto Sans"/>
                <w:szCs w:val="18"/>
              </w:rPr>
            </w:pPr>
            <w:r w:rsidRPr="002C64E6">
              <w:rPr>
                <w:rFonts w:eastAsia="Arial" w:cs="Noto Sans"/>
                <w:szCs w:val="18"/>
              </w:rPr>
              <w:t>A meeting and/or briefing on high-level legal considerations pertaining to site selection, if required.</w:t>
            </w:r>
          </w:p>
        </w:tc>
      </w:tr>
    </w:tbl>
    <w:p w14:paraId="7DA96728" w14:textId="2DCFBF4C" w:rsidR="00BB72E5" w:rsidRDefault="00BB72E5" w:rsidP="00035F7D">
      <w:pPr>
        <w:pStyle w:val="Heading2"/>
        <w:keepNext/>
        <w:numPr>
          <w:ilvl w:val="1"/>
          <w:numId w:val="42"/>
        </w:numPr>
        <w:rPr>
          <w:lang w:val="en-GB"/>
        </w:rPr>
      </w:pPr>
      <w:r>
        <w:rPr>
          <w:lang w:val="en-GB"/>
        </w:rPr>
        <w:t xml:space="preserve">Proposal </w:t>
      </w:r>
      <w:r w:rsidR="003C4DFA">
        <w:rPr>
          <w:lang w:val="en-GB"/>
        </w:rPr>
        <w:t>d</w:t>
      </w:r>
      <w:r>
        <w:rPr>
          <w:lang w:val="en-GB"/>
        </w:rPr>
        <w:t xml:space="preserve">evelopment </w:t>
      </w:r>
      <w:r w:rsidR="003C4DFA">
        <w:rPr>
          <w:lang w:val="en-GB"/>
        </w:rPr>
        <w:t>p</w:t>
      </w:r>
      <w:r>
        <w:rPr>
          <w:lang w:val="en-GB"/>
        </w:rPr>
        <w:t xml:space="preserve">hase </w:t>
      </w:r>
      <w:r w:rsidR="003C4DFA">
        <w:rPr>
          <w:lang w:val="en-GB"/>
        </w:rPr>
        <w:t>a</w:t>
      </w:r>
      <w:r w:rsidR="004C62ED">
        <w:rPr>
          <w:lang w:val="en-GB"/>
        </w:rPr>
        <w:t>ctivities</w:t>
      </w:r>
      <w:r>
        <w:rPr>
          <w:lang w:val="en-GB"/>
        </w:rPr>
        <w:t xml:space="preserve"> and </w:t>
      </w:r>
      <w:r w:rsidR="003C4DFA">
        <w:rPr>
          <w:lang w:val="en-GB"/>
        </w:rPr>
        <w:t>d</w:t>
      </w:r>
      <w:r>
        <w:rPr>
          <w:lang w:val="en-GB"/>
        </w:rPr>
        <w:t xml:space="preserve">eliverables </w:t>
      </w:r>
    </w:p>
    <w:p w14:paraId="141C85DC" w14:textId="3485EED9" w:rsidR="004C62ED" w:rsidRPr="004C62ED" w:rsidRDefault="004C62ED" w:rsidP="00035F7D">
      <w:pPr>
        <w:keepNext/>
      </w:pPr>
      <w:r>
        <w:rPr>
          <w:lang w:val="en-GB"/>
        </w:rPr>
        <w:t xml:space="preserve">Table 2 </w:t>
      </w:r>
      <w:r w:rsidRPr="004C62ED">
        <w:t>outlines the key activities and deliverables associated with the business case delivery phase.</w:t>
      </w:r>
    </w:p>
    <w:p w14:paraId="2547FD4C" w14:textId="399A7114" w:rsidR="004C62ED" w:rsidRPr="004C62ED" w:rsidRDefault="004C62ED" w:rsidP="00035F7D">
      <w:pPr>
        <w:keepNext/>
        <w:rPr>
          <w:b/>
          <w:bCs/>
        </w:rPr>
      </w:pPr>
      <w:bookmarkStart w:id="1" w:name="_bookmark2"/>
      <w:bookmarkEnd w:id="1"/>
      <w:r w:rsidRPr="004C62ED">
        <w:rPr>
          <w:b/>
          <w:bCs/>
        </w:rPr>
        <w:t xml:space="preserve">Table 2: Business Case </w:t>
      </w:r>
      <w:r w:rsidR="00026561">
        <w:rPr>
          <w:b/>
          <w:bCs/>
        </w:rPr>
        <w:t>d</w:t>
      </w:r>
      <w:r w:rsidRPr="004C62ED">
        <w:rPr>
          <w:b/>
          <w:bCs/>
        </w:rPr>
        <w:t xml:space="preserve">elivery </w:t>
      </w:r>
      <w:r w:rsidR="00026561">
        <w:rPr>
          <w:b/>
          <w:bCs/>
        </w:rPr>
        <w:t>p</w:t>
      </w:r>
      <w:r w:rsidRPr="004C62ED">
        <w:rPr>
          <w:b/>
          <w:bCs/>
        </w:rPr>
        <w:t xml:space="preserve">hase </w:t>
      </w:r>
      <w:r w:rsidR="00026561">
        <w:rPr>
          <w:b/>
          <w:bCs/>
        </w:rPr>
        <w:t>k</w:t>
      </w:r>
      <w:r w:rsidRPr="004C62ED">
        <w:rPr>
          <w:b/>
          <w:bCs/>
        </w:rPr>
        <w:t xml:space="preserve">ey </w:t>
      </w:r>
      <w:r w:rsidR="00026561">
        <w:rPr>
          <w:b/>
          <w:bCs/>
        </w:rPr>
        <w:t>a</w:t>
      </w:r>
      <w:r w:rsidRPr="004C62ED">
        <w:rPr>
          <w:b/>
          <w:bCs/>
        </w:rPr>
        <w:t xml:space="preserve">ctivities and </w:t>
      </w:r>
      <w:r w:rsidR="00026561">
        <w:rPr>
          <w:b/>
          <w:bCs/>
        </w:rPr>
        <w:t>d</w:t>
      </w:r>
      <w:r w:rsidRPr="004C62ED">
        <w:rPr>
          <w:b/>
          <w:bCs/>
        </w:rPr>
        <w:t>eliverables</w:t>
      </w:r>
    </w:p>
    <w:tbl>
      <w:tblPr>
        <w:tblStyle w:val="Table-QldBlue"/>
        <w:tblW w:w="5000" w:type="pct"/>
        <w:tblLayout w:type="fixed"/>
        <w:tblLook w:val="01E0" w:firstRow="1" w:lastRow="1" w:firstColumn="1" w:lastColumn="1" w:noHBand="0" w:noVBand="0"/>
      </w:tblPr>
      <w:tblGrid>
        <w:gridCol w:w="2263"/>
        <w:gridCol w:w="3686"/>
        <w:gridCol w:w="4531"/>
      </w:tblGrid>
      <w:tr w:rsidR="004C62ED" w:rsidRPr="004C62ED" w14:paraId="25F08067" w14:textId="77777777" w:rsidTr="00765B6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263" w:type="dxa"/>
            <w:hideMark/>
          </w:tcPr>
          <w:p w14:paraId="55CD252C" w14:textId="021E8601" w:rsidR="004C62ED" w:rsidRPr="004C62ED" w:rsidRDefault="004C62ED" w:rsidP="004C62ED">
            <w:pPr>
              <w:rPr>
                <w:bCs/>
              </w:rPr>
            </w:pPr>
            <w:r w:rsidRPr="004C62ED">
              <w:rPr>
                <w:bCs/>
              </w:rPr>
              <w:t xml:space="preserve">Proposal </w:t>
            </w:r>
            <w:r w:rsidR="00026561">
              <w:rPr>
                <w:bCs/>
              </w:rPr>
              <w:t>d</w:t>
            </w:r>
            <w:r w:rsidRPr="004C62ED">
              <w:rPr>
                <w:bCs/>
              </w:rPr>
              <w:t xml:space="preserve">evelopment </w:t>
            </w:r>
            <w:r w:rsidR="00026561">
              <w:rPr>
                <w:bCs/>
              </w:rPr>
              <w:t>p</w:t>
            </w:r>
            <w:r w:rsidR="00765B6A">
              <w:rPr>
                <w:bCs/>
              </w:rPr>
              <w:t>hase</w:t>
            </w:r>
          </w:p>
        </w:tc>
        <w:tc>
          <w:tcPr>
            <w:tcW w:w="3686" w:type="dxa"/>
            <w:hideMark/>
          </w:tcPr>
          <w:p w14:paraId="3A17FDA6" w14:textId="01E22C94" w:rsidR="004C62ED" w:rsidRPr="004C62ED" w:rsidRDefault="00765B6A" w:rsidP="004C62ED">
            <w:pPr>
              <w:cnfStyle w:val="100000000000" w:firstRow="1" w:lastRow="0" w:firstColumn="0" w:lastColumn="0" w:oddVBand="0" w:evenVBand="0" w:oddHBand="0" w:evenHBand="0" w:firstRowFirstColumn="0" w:firstRowLastColumn="0" w:lastRowFirstColumn="0" w:lastRowLastColumn="0"/>
              <w:rPr>
                <w:bCs/>
              </w:rPr>
            </w:pPr>
            <w:r>
              <w:rPr>
                <w:bCs/>
              </w:rPr>
              <w:t xml:space="preserve">Key </w:t>
            </w:r>
            <w:r w:rsidR="00026561">
              <w:rPr>
                <w:bCs/>
              </w:rPr>
              <w:t>a</w:t>
            </w:r>
            <w:r>
              <w:rPr>
                <w:bCs/>
              </w:rPr>
              <w:t>ctivities</w:t>
            </w:r>
          </w:p>
        </w:tc>
        <w:tc>
          <w:tcPr>
            <w:tcW w:w="4531" w:type="dxa"/>
            <w:hideMark/>
          </w:tcPr>
          <w:p w14:paraId="456A9C07" w14:textId="5C56A44F" w:rsidR="004C62ED" w:rsidRPr="004C62ED" w:rsidRDefault="004C62ED" w:rsidP="004C62ED">
            <w:pPr>
              <w:cnfStyle w:val="100000000000" w:firstRow="1" w:lastRow="0" w:firstColumn="0" w:lastColumn="0" w:oddVBand="0" w:evenVBand="0" w:oddHBand="0" w:evenHBand="0" w:firstRowFirstColumn="0" w:firstRowLastColumn="0" w:lastRowFirstColumn="0" w:lastRowLastColumn="0"/>
              <w:rPr>
                <w:bCs/>
              </w:rPr>
            </w:pPr>
            <w:r w:rsidRPr="004C62ED">
              <w:rPr>
                <w:bCs/>
              </w:rPr>
              <w:t>D</w:t>
            </w:r>
            <w:r w:rsidR="00765B6A">
              <w:rPr>
                <w:bCs/>
              </w:rPr>
              <w:t>eliverables</w:t>
            </w:r>
          </w:p>
        </w:tc>
      </w:tr>
      <w:tr w:rsidR="004C62ED" w:rsidRPr="004C62ED" w14:paraId="2950B830" w14:textId="77777777" w:rsidTr="00765B6A">
        <w:trPr>
          <w:trHeight w:val="1523"/>
        </w:trPr>
        <w:tc>
          <w:tcPr>
            <w:cnfStyle w:val="001000000000" w:firstRow="0" w:lastRow="0" w:firstColumn="1" w:lastColumn="0" w:oddVBand="0" w:evenVBand="0" w:oddHBand="0" w:evenHBand="0" w:firstRowFirstColumn="0" w:firstRowLastColumn="0" w:lastRowFirstColumn="0" w:lastRowLastColumn="0"/>
            <w:tcW w:w="2263" w:type="dxa"/>
            <w:hideMark/>
          </w:tcPr>
          <w:p w14:paraId="167AAA51" w14:textId="77777777" w:rsidR="004C62ED" w:rsidRPr="004C62ED" w:rsidRDefault="004C62ED" w:rsidP="004C62ED">
            <w:r w:rsidRPr="004C62ED">
              <w:lastRenderedPageBreak/>
              <w:t>Risk assessment</w:t>
            </w:r>
          </w:p>
        </w:tc>
        <w:tc>
          <w:tcPr>
            <w:tcW w:w="3686" w:type="dxa"/>
            <w:hideMark/>
          </w:tcPr>
          <w:p w14:paraId="7AE4900F" w14:textId="77777777" w:rsidR="004C62ED" w:rsidRPr="004C62ED" w:rsidRDefault="004C62ED" w:rsidP="004C62ED">
            <w:pPr>
              <w:numPr>
                <w:ilvl w:val="0"/>
                <w:numId w:val="33"/>
              </w:numPr>
              <w:cnfStyle w:val="000000000000" w:firstRow="0" w:lastRow="0" w:firstColumn="0" w:lastColumn="0" w:oddVBand="0" w:evenVBand="0" w:oddHBand="0" w:evenHBand="0" w:firstRowFirstColumn="0" w:firstRowLastColumn="0" w:lastRowFirstColumn="0" w:lastRowLastColumn="0"/>
            </w:pPr>
            <w:r w:rsidRPr="004C62ED">
              <w:t>Identify key risks and issues which may represent constraints to the successful planning or delivery of the Reference Project, including staging, approval processes and timing considerations.</w:t>
            </w:r>
          </w:p>
        </w:tc>
        <w:tc>
          <w:tcPr>
            <w:tcW w:w="4531" w:type="dxa"/>
            <w:hideMark/>
          </w:tcPr>
          <w:p w14:paraId="2D7776DA" w14:textId="77777777" w:rsidR="004C62ED" w:rsidRPr="004C62ED" w:rsidRDefault="004C62ED" w:rsidP="004C62ED">
            <w:pPr>
              <w:pStyle w:val="ListParagraph"/>
              <w:numPr>
                <w:ilvl w:val="0"/>
                <w:numId w:val="33"/>
              </w:numPr>
              <w:cnfStyle w:val="000000000000" w:firstRow="0" w:lastRow="0" w:firstColumn="0" w:lastColumn="0" w:oddVBand="0" w:evenVBand="0" w:oddHBand="0" w:evenHBand="0" w:firstRowFirstColumn="0" w:firstRowLastColumn="0" w:lastRowFirstColumn="0" w:lastRowLastColumn="0"/>
            </w:pPr>
            <w:r w:rsidRPr="004C62ED">
              <w:t>Legal and regulatory input throughout the Quantity Surveyor’s risk assessment process.</w:t>
            </w:r>
          </w:p>
          <w:p w14:paraId="5B175625" w14:textId="77777777" w:rsidR="004C62ED" w:rsidRPr="004C62ED" w:rsidRDefault="004C62ED" w:rsidP="004C62ED">
            <w:pPr>
              <w:numPr>
                <w:ilvl w:val="0"/>
                <w:numId w:val="33"/>
              </w:numPr>
              <w:cnfStyle w:val="000000000000" w:firstRow="0" w:lastRow="0" w:firstColumn="0" w:lastColumn="0" w:oddVBand="0" w:evenVBand="0" w:oddHBand="0" w:evenHBand="0" w:firstRowFirstColumn="0" w:firstRowLastColumn="0" w:lastRowFirstColumn="0" w:lastRowLastColumn="0"/>
            </w:pPr>
            <w:r w:rsidRPr="004C62ED">
              <w:t>Legal and regulatory advice on Social Impact Evaluation team’s benefit register.</w:t>
            </w:r>
          </w:p>
        </w:tc>
      </w:tr>
      <w:tr w:rsidR="004C62ED" w:rsidRPr="004C62ED" w14:paraId="1162E560" w14:textId="77777777" w:rsidTr="00765B6A">
        <w:trPr>
          <w:trHeight w:val="1523"/>
        </w:trPr>
        <w:tc>
          <w:tcPr>
            <w:cnfStyle w:val="001000000000" w:firstRow="0" w:lastRow="0" w:firstColumn="1" w:lastColumn="0" w:oddVBand="0" w:evenVBand="0" w:oddHBand="0" w:evenHBand="0" w:firstRowFirstColumn="0" w:firstRowLastColumn="0" w:lastRowFirstColumn="0" w:lastRowLastColumn="0"/>
            <w:tcW w:w="2263" w:type="dxa"/>
            <w:hideMark/>
          </w:tcPr>
          <w:p w14:paraId="18B6CEC0" w14:textId="77777777" w:rsidR="004C62ED" w:rsidRPr="004C62ED" w:rsidRDefault="004C62ED" w:rsidP="004C62ED">
            <w:r w:rsidRPr="004C62ED">
              <w:t>Reference project development, including a staged option</w:t>
            </w:r>
          </w:p>
        </w:tc>
        <w:tc>
          <w:tcPr>
            <w:tcW w:w="3686" w:type="dxa"/>
            <w:hideMark/>
          </w:tcPr>
          <w:p w14:paraId="38264FE7" w14:textId="77777777" w:rsidR="004C62ED" w:rsidRPr="004C62ED" w:rsidRDefault="004C62ED" w:rsidP="004C62ED">
            <w:pPr>
              <w:numPr>
                <w:ilvl w:val="0"/>
                <w:numId w:val="33"/>
              </w:numPr>
              <w:cnfStyle w:val="000000000000" w:firstRow="0" w:lastRow="0" w:firstColumn="0" w:lastColumn="0" w:oddVBand="0" w:evenVBand="0" w:oddHBand="0" w:evenHBand="0" w:firstRowFirstColumn="0" w:firstRowLastColumn="0" w:lastRowFirstColumn="0" w:lastRowLastColumn="0"/>
            </w:pPr>
            <w:r w:rsidRPr="004C62ED">
              <w:t>Legal and regulatory compliance review.</w:t>
            </w:r>
          </w:p>
          <w:p w14:paraId="30D41494" w14:textId="77777777" w:rsidR="004C62ED" w:rsidRPr="004C62ED" w:rsidRDefault="004C62ED" w:rsidP="004C62ED">
            <w:pPr>
              <w:numPr>
                <w:ilvl w:val="0"/>
                <w:numId w:val="33"/>
              </w:numPr>
              <w:cnfStyle w:val="000000000000" w:firstRow="0" w:lastRow="0" w:firstColumn="0" w:lastColumn="0" w:oddVBand="0" w:evenVBand="0" w:oddHBand="0" w:evenHBand="0" w:firstRowFirstColumn="0" w:firstRowLastColumn="0" w:lastRowFirstColumn="0" w:lastRowLastColumn="0"/>
            </w:pPr>
            <w:r w:rsidRPr="004C62ED">
              <w:t>Workforce planning review, encompassing a staged delivery option.</w:t>
            </w:r>
          </w:p>
        </w:tc>
        <w:tc>
          <w:tcPr>
            <w:tcW w:w="4531" w:type="dxa"/>
            <w:hideMark/>
          </w:tcPr>
          <w:p w14:paraId="53264C6E" w14:textId="77777777" w:rsidR="004C62ED" w:rsidRPr="004C62ED" w:rsidRDefault="004C62ED" w:rsidP="004C62ED">
            <w:pPr>
              <w:numPr>
                <w:ilvl w:val="0"/>
                <w:numId w:val="33"/>
              </w:numPr>
              <w:cnfStyle w:val="000000000000" w:firstRow="0" w:lastRow="0" w:firstColumn="0" w:lastColumn="0" w:oddVBand="0" w:evenVBand="0" w:oddHBand="0" w:evenHBand="0" w:firstRowFirstColumn="0" w:firstRowLastColumn="0" w:lastRowFirstColumn="0" w:lastRowLastColumn="0"/>
            </w:pPr>
            <w:r w:rsidRPr="004C62ED">
              <w:t>Recommendations on workforce standing agreements and existing contracts that may require renegotiation or compensation.</w:t>
            </w:r>
          </w:p>
          <w:p w14:paraId="7F4EE98E" w14:textId="77777777" w:rsidR="004C62ED" w:rsidRPr="004C62ED" w:rsidRDefault="004C62ED" w:rsidP="004C62ED">
            <w:pPr>
              <w:numPr>
                <w:ilvl w:val="0"/>
                <w:numId w:val="33"/>
              </w:numPr>
              <w:cnfStyle w:val="000000000000" w:firstRow="0" w:lastRow="0" w:firstColumn="0" w:lastColumn="0" w:oddVBand="0" w:evenVBand="0" w:oddHBand="0" w:evenHBand="0" w:firstRowFirstColumn="0" w:firstRowLastColumn="0" w:lastRowFirstColumn="0" w:lastRowLastColumn="0"/>
            </w:pPr>
            <w:r w:rsidRPr="004C62ED">
              <w:t>Provide legal and regulatory inputs for briefing notes, correspondence, reports, as required.</w:t>
            </w:r>
          </w:p>
        </w:tc>
      </w:tr>
      <w:tr w:rsidR="004C62ED" w:rsidRPr="004C62ED" w14:paraId="7D699C27" w14:textId="77777777" w:rsidTr="00765B6A">
        <w:trPr>
          <w:trHeight w:val="1461"/>
        </w:trPr>
        <w:tc>
          <w:tcPr>
            <w:cnfStyle w:val="001000000000" w:firstRow="0" w:lastRow="0" w:firstColumn="1" w:lastColumn="0" w:oddVBand="0" w:evenVBand="0" w:oddHBand="0" w:evenHBand="0" w:firstRowFirstColumn="0" w:firstRowLastColumn="0" w:lastRowFirstColumn="0" w:lastRowLastColumn="0"/>
            <w:tcW w:w="2263" w:type="dxa"/>
            <w:hideMark/>
          </w:tcPr>
          <w:p w14:paraId="1A063FDC" w14:textId="77777777" w:rsidR="004C62ED" w:rsidRPr="004C62ED" w:rsidRDefault="004C62ED" w:rsidP="004C62ED">
            <w:r w:rsidRPr="004C62ED">
              <w:t>Stakeholder engagement</w:t>
            </w:r>
          </w:p>
        </w:tc>
        <w:tc>
          <w:tcPr>
            <w:tcW w:w="3686" w:type="dxa"/>
            <w:hideMark/>
          </w:tcPr>
          <w:p w14:paraId="7CCCA64C" w14:textId="77777777" w:rsidR="004C62ED" w:rsidRPr="004C62ED" w:rsidRDefault="004C62ED" w:rsidP="004C62ED">
            <w:pPr>
              <w:numPr>
                <w:ilvl w:val="0"/>
                <w:numId w:val="33"/>
              </w:numPr>
              <w:cnfStyle w:val="000000000000" w:firstRow="0" w:lastRow="0" w:firstColumn="0" w:lastColumn="0" w:oddVBand="0" w:evenVBand="0" w:oddHBand="0" w:evenHBand="0" w:firstRowFirstColumn="0" w:firstRowLastColumn="0" w:lastRowFirstColumn="0" w:lastRowLastColumn="0"/>
            </w:pPr>
            <w:r w:rsidRPr="004C62ED">
              <w:t>Participation in workshops and meetings regarding stakeholder engagement and communications plan, as needed.</w:t>
            </w:r>
          </w:p>
        </w:tc>
        <w:tc>
          <w:tcPr>
            <w:tcW w:w="4531" w:type="dxa"/>
            <w:hideMark/>
          </w:tcPr>
          <w:p w14:paraId="5214A779" w14:textId="77777777" w:rsidR="004C62ED" w:rsidRPr="004C62ED" w:rsidRDefault="004C62ED" w:rsidP="004C62ED">
            <w:pPr>
              <w:numPr>
                <w:ilvl w:val="0"/>
                <w:numId w:val="33"/>
              </w:numPr>
              <w:cnfStyle w:val="000000000000" w:firstRow="0" w:lastRow="0" w:firstColumn="0" w:lastColumn="0" w:oddVBand="0" w:evenVBand="0" w:oddHBand="0" w:evenHBand="0" w:firstRowFirstColumn="0" w:firstRowLastColumn="0" w:lastRowFirstColumn="0" w:lastRowLastColumn="0"/>
            </w:pPr>
            <w:r w:rsidRPr="004C62ED">
              <w:t>Provide legal and regulatory advice to Stakeholder Engagement and Communications advisor, as needed.</w:t>
            </w:r>
          </w:p>
        </w:tc>
      </w:tr>
      <w:tr w:rsidR="004C62ED" w:rsidRPr="004C62ED" w14:paraId="1F9D536F" w14:textId="77777777" w:rsidTr="00765B6A">
        <w:trPr>
          <w:cnfStyle w:val="010000000000" w:firstRow="0" w:lastRow="1" w:firstColumn="0" w:lastColumn="0" w:oddVBand="0" w:evenVBand="0" w:oddHBand="0" w:evenHBand="0" w:firstRowFirstColumn="0" w:firstRowLastColumn="0" w:lastRowFirstColumn="0" w:lastRowLastColumn="0"/>
          <w:trHeight w:val="3463"/>
        </w:trPr>
        <w:tc>
          <w:tcPr>
            <w:cnfStyle w:val="001000000000" w:firstRow="0" w:lastRow="0" w:firstColumn="1" w:lastColumn="0" w:oddVBand="0" w:evenVBand="0" w:oddHBand="0" w:evenHBand="0" w:firstRowFirstColumn="0" w:firstRowLastColumn="0" w:lastRowFirstColumn="0" w:lastRowLastColumn="0"/>
            <w:tcW w:w="2263" w:type="dxa"/>
            <w:hideMark/>
          </w:tcPr>
          <w:p w14:paraId="57988425" w14:textId="77777777" w:rsidR="004C62ED" w:rsidRPr="004C62ED" w:rsidRDefault="004C62ED" w:rsidP="004C62ED">
            <w:r w:rsidRPr="004C62ED">
              <w:t>Chapter development</w:t>
            </w:r>
          </w:p>
        </w:tc>
        <w:tc>
          <w:tcPr>
            <w:tcW w:w="3686" w:type="dxa"/>
            <w:hideMark/>
          </w:tcPr>
          <w:p w14:paraId="11126293" w14:textId="77777777" w:rsidR="004C62ED" w:rsidRPr="004C62ED" w:rsidRDefault="004C62ED" w:rsidP="004C62ED">
            <w:pPr>
              <w:numPr>
                <w:ilvl w:val="0"/>
                <w:numId w:val="35"/>
              </w:numPr>
              <w:cnfStyle w:val="010000000000" w:firstRow="0" w:lastRow="1" w:firstColumn="0" w:lastColumn="0" w:oddVBand="0" w:evenVBand="0" w:oddHBand="0" w:evenHBand="0" w:firstRowFirstColumn="0" w:firstRowLastColumn="0" w:lastRowFirstColumn="0" w:lastRowLastColumn="0"/>
            </w:pPr>
            <w:r w:rsidRPr="004C62ED">
              <w:t>Conduct legal and regulatory workshop discussions with key stakeholders.</w:t>
            </w:r>
          </w:p>
          <w:p w14:paraId="095C60CC" w14:textId="77777777" w:rsidR="004C62ED" w:rsidRPr="004C62ED" w:rsidRDefault="004C62ED" w:rsidP="004C62ED">
            <w:pPr>
              <w:numPr>
                <w:ilvl w:val="0"/>
                <w:numId w:val="35"/>
              </w:numPr>
              <w:cnfStyle w:val="010000000000" w:firstRow="0" w:lastRow="1" w:firstColumn="0" w:lastColumn="0" w:oddVBand="0" w:evenVBand="0" w:oddHBand="0" w:evenHBand="0" w:firstRowFirstColumn="0" w:firstRowLastColumn="0" w:lastRowFirstColumn="0" w:lastRowLastColumn="0"/>
            </w:pPr>
            <w:r w:rsidRPr="004C62ED">
              <w:t>Participation in workshops and meetings to provide review of Strategic Considerations, Delivery Model Analysis and Implementation Plan chapters.</w:t>
            </w:r>
          </w:p>
          <w:p w14:paraId="37FA18D9" w14:textId="77777777" w:rsidR="004C62ED" w:rsidRPr="004C62ED" w:rsidRDefault="004C62ED" w:rsidP="004C62ED">
            <w:pPr>
              <w:numPr>
                <w:ilvl w:val="0"/>
                <w:numId w:val="35"/>
              </w:numPr>
              <w:cnfStyle w:val="010000000000" w:firstRow="0" w:lastRow="1" w:firstColumn="0" w:lastColumn="0" w:oddVBand="0" w:evenVBand="0" w:oddHBand="0" w:evenHBand="0" w:firstRowFirstColumn="0" w:firstRowLastColumn="0" w:lastRowFirstColumn="0" w:lastRowLastColumn="0"/>
            </w:pPr>
            <w:r w:rsidRPr="004C62ED">
              <w:t>Review the Sustainability Assessment, Environmental Assessment and Social Impact Evaluation chapters.</w:t>
            </w:r>
          </w:p>
        </w:tc>
        <w:tc>
          <w:tcPr>
            <w:tcW w:w="4531" w:type="dxa"/>
            <w:hideMark/>
          </w:tcPr>
          <w:p w14:paraId="10981327" w14:textId="77777777" w:rsidR="004C62ED" w:rsidRPr="004C62ED" w:rsidRDefault="004C62ED" w:rsidP="004C62ED">
            <w:pPr>
              <w:numPr>
                <w:ilvl w:val="0"/>
                <w:numId w:val="35"/>
              </w:numPr>
              <w:cnfStyle w:val="010000000000" w:firstRow="0" w:lastRow="1" w:firstColumn="0" w:lastColumn="0" w:oddVBand="0" w:evenVBand="0" w:oddHBand="0" w:evenHBand="0" w:firstRowFirstColumn="0" w:firstRowLastColumn="0" w:lastRowFirstColumn="0" w:lastRowLastColumn="0"/>
            </w:pPr>
            <w:r w:rsidRPr="004C62ED">
              <w:t>Legal and Regulatory Due Diligence Report.</w:t>
            </w:r>
          </w:p>
          <w:p w14:paraId="35237C3C" w14:textId="77777777" w:rsidR="004C62ED" w:rsidRPr="004C62ED" w:rsidRDefault="004C62ED" w:rsidP="004C62ED">
            <w:pPr>
              <w:numPr>
                <w:ilvl w:val="0"/>
                <w:numId w:val="35"/>
              </w:numPr>
              <w:cnfStyle w:val="010000000000" w:firstRow="0" w:lastRow="1" w:firstColumn="0" w:lastColumn="0" w:oddVBand="0" w:evenVBand="0" w:oddHBand="0" w:evenHBand="0" w:firstRowFirstColumn="0" w:firstRowLastColumn="0" w:lastRowFirstColumn="0" w:lastRowLastColumn="0"/>
            </w:pPr>
            <w:r w:rsidRPr="004C62ED">
              <w:t>Draft of the DBC Legal and Regulatory chapter.</w:t>
            </w:r>
          </w:p>
          <w:p w14:paraId="2D61E510" w14:textId="77777777" w:rsidR="004C62ED" w:rsidRPr="004C62ED" w:rsidRDefault="004C62ED" w:rsidP="004C62ED">
            <w:pPr>
              <w:numPr>
                <w:ilvl w:val="0"/>
                <w:numId w:val="35"/>
              </w:numPr>
              <w:cnfStyle w:val="010000000000" w:firstRow="0" w:lastRow="1" w:firstColumn="0" w:lastColumn="0" w:oddVBand="0" w:evenVBand="0" w:oddHBand="0" w:evenHBand="0" w:firstRowFirstColumn="0" w:firstRowLastColumn="0" w:lastRowFirstColumn="0" w:lastRowLastColumn="0"/>
            </w:pPr>
            <w:r w:rsidRPr="004C62ED">
              <w:t>Briefing and documented inputs to ensure impacts of legal and regulatory considerations are reflected in the Strategic Considerations, Sustainability Assessment, Environmental Assessment, Social Impact Evaluation, Delivery Model Analysis and Implementation Plan chapters and, if required, the project cost estimates.</w:t>
            </w:r>
          </w:p>
        </w:tc>
      </w:tr>
    </w:tbl>
    <w:p w14:paraId="552B1670" w14:textId="69DF3D14" w:rsidR="00DF17AC" w:rsidRDefault="00DF17AC" w:rsidP="00035F7D">
      <w:pPr>
        <w:pStyle w:val="Heading2"/>
        <w:keepNext/>
        <w:numPr>
          <w:ilvl w:val="1"/>
          <w:numId w:val="42"/>
        </w:numPr>
        <w:rPr>
          <w:lang w:val="en-GB"/>
        </w:rPr>
      </w:pPr>
      <w:r>
        <w:rPr>
          <w:lang w:val="en-GB"/>
        </w:rPr>
        <w:t xml:space="preserve">Close Out </w:t>
      </w:r>
      <w:r w:rsidR="00035F7D">
        <w:rPr>
          <w:lang w:val="en-GB"/>
        </w:rPr>
        <w:t>p</w:t>
      </w:r>
      <w:r>
        <w:rPr>
          <w:lang w:val="en-GB"/>
        </w:rPr>
        <w:t xml:space="preserve">hase </w:t>
      </w:r>
      <w:r w:rsidR="00035F7D">
        <w:rPr>
          <w:lang w:val="en-GB"/>
        </w:rPr>
        <w:t>a</w:t>
      </w:r>
      <w:r>
        <w:rPr>
          <w:lang w:val="en-GB"/>
        </w:rPr>
        <w:t xml:space="preserve">ctivities and </w:t>
      </w:r>
      <w:r w:rsidR="00035F7D">
        <w:rPr>
          <w:lang w:val="en-GB"/>
        </w:rPr>
        <w:t>d</w:t>
      </w:r>
      <w:r>
        <w:rPr>
          <w:lang w:val="en-GB"/>
        </w:rPr>
        <w:t xml:space="preserve">eliverables </w:t>
      </w:r>
    </w:p>
    <w:p w14:paraId="2A26FDCF" w14:textId="3BF20419" w:rsidR="008B474E" w:rsidRPr="008B474E" w:rsidRDefault="008B474E" w:rsidP="00035F7D">
      <w:pPr>
        <w:keepNext/>
      </w:pPr>
      <w:r>
        <w:t xml:space="preserve">Table 3 </w:t>
      </w:r>
      <w:r w:rsidRPr="008B474E">
        <w:t>outlines the key activities and deliverables associated with the close out phase of the delivery.</w:t>
      </w:r>
    </w:p>
    <w:p w14:paraId="34E3C4AB" w14:textId="6C9A787A" w:rsidR="008B474E" w:rsidRPr="008B474E" w:rsidRDefault="008B474E" w:rsidP="00035F7D">
      <w:pPr>
        <w:keepNext/>
        <w:rPr>
          <w:b/>
          <w:bCs/>
        </w:rPr>
      </w:pPr>
      <w:bookmarkStart w:id="2" w:name="_bookmark3"/>
      <w:bookmarkEnd w:id="2"/>
      <w:r w:rsidRPr="008B474E">
        <w:rPr>
          <w:b/>
          <w:bCs/>
        </w:rPr>
        <w:t xml:space="preserve">Table 3: Close Out </w:t>
      </w:r>
      <w:r w:rsidR="00035F7D">
        <w:rPr>
          <w:b/>
          <w:bCs/>
        </w:rPr>
        <w:t>p</w:t>
      </w:r>
      <w:r w:rsidRPr="008B474E">
        <w:rPr>
          <w:b/>
          <w:bCs/>
        </w:rPr>
        <w:t xml:space="preserve">hase </w:t>
      </w:r>
      <w:r w:rsidR="00035F7D">
        <w:rPr>
          <w:b/>
          <w:bCs/>
        </w:rPr>
        <w:t>k</w:t>
      </w:r>
      <w:r w:rsidRPr="008B474E">
        <w:rPr>
          <w:b/>
          <w:bCs/>
        </w:rPr>
        <w:t xml:space="preserve">ey </w:t>
      </w:r>
      <w:r w:rsidR="00035F7D">
        <w:rPr>
          <w:b/>
          <w:bCs/>
        </w:rPr>
        <w:t>a</w:t>
      </w:r>
      <w:r w:rsidRPr="008B474E">
        <w:rPr>
          <w:b/>
          <w:bCs/>
        </w:rPr>
        <w:t xml:space="preserve">ctivities and </w:t>
      </w:r>
      <w:r w:rsidR="00035F7D">
        <w:rPr>
          <w:b/>
          <w:bCs/>
        </w:rPr>
        <w:t>d</w:t>
      </w:r>
      <w:r w:rsidRPr="008B474E">
        <w:rPr>
          <w:b/>
          <w:bCs/>
        </w:rPr>
        <w:t>eliverables</w:t>
      </w:r>
    </w:p>
    <w:tbl>
      <w:tblPr>
        <w:tblStyle w:val="Table-QldBlue"/>
        <w:tblpPr w:leftFromText="180" w:rightFromText="180" w:topFromText="60" w:bottomFromText="60" w:vertAnchor="text" w:horzAnchor="margin" w:tblpY="129"/>
        <w:tblW w:w="5000" w:type="pct"/>
        <w:tblLayout w:type="fixed"/>
        <w:tblLook w:val="01E0" w:firstRow="1" w:lastRow="1" w:firstColumn="1" w:lastColumn="1" w:noHBand="0" w:noVBand="0"/>
      </w:tblPr>
      <w:tblGrid>
        <w:gridCol w:w="2263"/>
        <w:gridCol w:w="3668"/>
        <w:gridCol w:w="4549"/>
      </w:tblGrid>
      <w:tr w:rsidR="008B474E" w:rsidRPr="008B474E" w14:paraId="3FC0C942" w14:textId="77777777" w:rsidTr="0077113E">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263" w:type="dxa"/>
            <w:hideMark/>
          </w:tcPr>
          <w:p w14:paraId="20FC9F20" w14:textId="6F40ADC9" w:rsidR="008B474E" w:rsidRPr="008B474E" w:rsidRDefault="00765B6A" w:rsidP="008B474E">
            <w:pPr>
              <w:rPr>
                <w:bCs/>
              </w:rPr>
            </w:pPr>
            <w:r>
              <w:rPr>
                <w:bCs/>
              </w:rPr>
              <w:t xml:space="preserve">Close Out </w:t>
            </w:r>
            <w:r w:rsidR="00026561">
              <w:rPr>
                <w:bCs/>
              </w:rPr>
              <w:t>p</w:t>
            </w:r>
            <w:r>
              <w:rPr>
                <w:bCs/>
              </w:rPr>
              <w:t>hase</w:t>
            </w:r>
          </w:p>
        </w:tc>
        <w:tc>
          <w:tcPr>
            <w:tcW w:w="3668" w:type="dxa"/>
            <w:hideMark/>
          </w:tcPr>
          <w:p w14:paraId="167161A6" w14:textId="2004CC39" w:rsidR="008B474E" w:rsidRPr="008B474E" w:rsidRDefault="00026561" w:rsidP="008B474E">
            <w:pPr>
              <w:cnfStyle w:val="100000000000" w:firstRow="1" w:lastRow="0" w:firstColumn="0" w:lastColumn="0" w:oddVBand="0" w:evenVBand="0" w:oddHBand="0" w:evenHBand="0" w:firstRowFirstColumn="0" w:firstRowLastColumn="0" w:lastRowFirstColumn="0" w:lastRowLastColumn="0"/>
              <w:rPr>
                <w:bCs/>
              </w:rPr>
            </w:pPr>
            <w:r>
              <w:rPr>
                <w:bCs/>
              </w:rPr>
              <w:t>Key a</w:t>
            </w:r>
            <w:r w:rsidR="00765B6A">
              <w:rPr>
                <w:bCs/>
              </w:rPr>
              <w:t>ctivities</w:t>
            </w:r>
          </w:p>
        </w:tc>
        <w:tc>
          <w:tcPr>
            <w:tcW w:w="4549" w:type="dxa"/>
            <w:hideMark/>
          </w:tcPr>
          <w:p w14:paraId="16BBDAAC" w14:textId="76736314" w:rsidR="008B474E" w:rsidRPr="008B474E" w:rsidRDefault="00765B6A" w:rsidP="008B474E">
            <w:pPr>
              <w:cnfStyle w:val="100000000000" w:firstRow="1" w:lastRow="0" w:firstColumn="0" w:lastColumn="0" w:oddVBand="0" w:evenVBand="0" w:oddHBand="0" w:evenHBand="0" w:firstRowFirstColumn="0" w:firstRowLastColumn="0" w:lastRowFirstColumn="0" w:lastRowLastColumn="0"/>
              <w:rPr>
                <w:bCs/>
              </w:rPr>
            </w:pPr>
            <w:r>
              <w:rPr>
                <w:bCs/>
              </w:rPr>
              <w:t>Deliverables</w:t>
            </w:r>
          </w:p>
        </w:tc>
      </w:tr>
      <w:tr w:rsidR="008B474E" w:rsidRPr="008B474E" w14:paraId="0FC04F86" w14:textId="77777777" w:rsidTr="0077113E">
        <w:trPr>
          <w:cnfStyle w:val="010000000000" w:firstRow="0" w:lastRow="1" w:firstColumn="0" w:lastColumn="0" w:oddVBand="0" w:evenVBand="0" w:oddHBand="0" w:evenHBand="0" w:firstRowFirstColumn="0" w:firstRowLastColumn="0" w:lastRowFirstColumn="0" w:lastRowLastColumn="0"/>
          <w:trHeight w:val="1314"/>
        </w:trPr>
        <w:tc>
          <w:tcPr>
            <w:cnfStyle w:val="001000000000" w:firstRow="0" w:lastRow="0" w:firstColumn="1" w:lastColumn="0" w:oddVBand="0" w:evenVBand="0" w:oddHBand="0" w:evenHBand="0" w:firstRowFirstColumn="0" w:firstRowLastColumn="0" w:lastRowFirstColumn="0" w:lastRowLastColumn="0"/>
            <w:tcW w:w="2263" w:type="dxa"/>
            <w:hideMark/>
          </w:tcPr>
          <w:p w14:paraId="61F5BB79" w14:textId="77777777" w:rsidR="008B474E" w:rsidRPr="008B474E" w:rsidRDefault="008B474E" w:rsidP="008B474E">
            <w:r w:rsidRPr="008B474E">
              <w:t>Close out</w:t>
            </w:r>
          </w:p>
        </w:tc>
        <w:tc>
          <w:tcPr>
            <w:tcW w:w="3668" w:type="dxa"/>
            <w:hideMark/>
          </w:tcPr>
          <w:p w14:paraId="2B25EA46" w14:textId="77777777" w:rsidR="008B474E" w:rsidRPr="008B474E" w:rsidRDefault="008B474E" w:rsidP="008B474E">
            <w:pPr>
              <w:numPr>
                <w:ilvl w:val="0"/>
                <w:numId w:val="37"/>
              </w:numPr>
              <w:cnfStyle w:val="010000000000" w:firstRow="0" w:lastRow="1" w:firstColumn="0" w:lastColumn="0" w:oddVBand="0" w:evenVBand="0" w:oddHBand="0" w:evenHBand="0" w:firstRowFirstColumn="0" w:firstRowLastColumn="0" w:lastRowFirstColumn="0" w:lastRowLastColumn="0"/>
            </w:pPr>
            <w:r w:rsidRPr="008B474E">
              <w:t>Meeting to finalise Legal and Regulatory chapter of DBC.</w:t>
            </w:r>
          </w:p>
          <w:p w14:paraId="689946AF" w14:textId="77777777" w:rsidR="008B474E" w:rsidRPr="008B474E" w:rsidRDefault="008B474E" w:rsidP="008B474E">
            <w:pPr>
              <w:numPr>
                <w:ilvl w:val="0"/>
                <w:numId w:val="37"/>
              </w:numPr>
              <w:cnfStyle w:val="010000000000" w:firstRow="0" w:lastRow="1" w:firstColumn="0" w:lastColumn="0" w:oddVBand="0" w:evenVBand="0" w:oddHBand="0" w:evenHBand="0" w:firstRowFirstColumn="0" w:firstRowLastColumn="0" w:lastRowFirstColumn="0" w:lastRowLastColumn="0"/>
            </w:pPr>
            <w:r w:rsidRPr="008B474E">
              <w:t>Gateway Assurance.</w:t>
            </w:r>
          </w:p>
          <w:p w14:paraId="5B399DCF" w14:textId="77777777" w:rsidR="008B474E" w:rsidRPr="008B474E" w:rsidRDefault="008B474E" w:rsidP="008B474E">
            <w:pPr>
              <w:numPr>
                <w:ilvl w:val="0"/>
                <w:numId w:val="37"/>
              </w:numPr>
              <w:cnfStyle w:val="010000000000" w:firstRow="0" w:lastRow="1" w:firstColumn="0" w:lastColumn="0" w:oddVBand="0" w:evenVBand="0" w:oddHBand="0" w:evenHBand="0" w:firstRowFirstColumn="0" w:firstRowLastColumn="0" w:lastRowFirstColumn="0" w:lastRowLastColumn="0"/>
            </w:pPr>
            <w:r w:rsidRPr="008B474E">
              <w:t>Lessons learned process.</w:t>
            </w:r>
          </w:p>
        </w:tc>
        <w:tc>
          <w:tcPr>
            <w:tcW w:w="4549" w:type="dxa"/>
            <w:hideMark/>
          </w:tcPr>
          <w:p w14:paraId="4C68002A" w14:textId="77777777" w:rsidR="008B474E" w:rsidRPr="008B474E" w:rsidRDefault="008B474E" w:rsidP="008B474E">
            <w:pPr>
              <w:numPr>
                <w:ilvl w:val="0"/>
                <w:numId w:val="37"/>
              </w:numPr>
              <w:cnfStyle w:val="010000000000" w:firstRow="0" w:lastRow="1" w:firstColumn="0" w:lastColumn="0" w:oddVBand="0" w:evenVBand="0" w:oddHBand="0" w:evenHBand="0" w:firstRowFirstColumn="0" w:firstRowLastColumn="0" w:lastRowFirstColumn="0" w:lastRowLastColumn="0"/>
            </w:pPr>
            <w:r w:rsidRPr="008B474E">
              <w:t>Final Legal and Regulatory chapter.</w:t>
            </w:r>
          </w:p>
          <w:p w14:paraId="4CDB2FA9" w14:textId="77777777" w:rsidR="008B474E" w:rsidRPr="008B474E" w:rsidRDefault="008B474E" w:rsidP="008B474E">
            <w:pPr>
              <w:numPr>
                <w:ilvl w:val="0"/>
                <w:numId w:val="37"/>
              </w:numPr>
              <w:cnfStyle w:val="010000000000" w:firstRow="0" w:lastRow="1" w:firstColumn="0" w:lastColumn="0" w:oddVBand="0" w:evenVBand="0" w:oddHBand="0" w:evenHBand="0" w:firstRowFirstColumn="0" w:firstRowLastColumn="0" w:lastRowFirstColumn="0" w:lastRowLastColumn="0"/>
            </w:pPr>
            <w:r w:rsidRPr="008B474E">
              <w:t>Contribution to quality assurance activities, such as the gateway review and continuous improvement activities, if required.</w:t>
            </w:r>
          </w:p>
        </w:tc>
      </w:tr>
    </w:tbl>
    <w:p w14:paraId="3572AA80" w14:textId="4D8E732A" w:rsidR="003C632B" w:rsidRPr="003C632B" w:rsidRDefault="007B589C" w:rsidP="004607DD">
      <w:pPr>
        <w:pStyle w:val="Heading1"/>
        <w:keepNext/>
        <w:widowControl/>
        <w:numPr>
          <w:ilvl w:val="0"/>
          <w:numId w:val="42"/>
        </w:numPr>
      </w:pPr>
      <w:r>
        <w:t xml:space="preserve">Business Case </w:t>
      </w:r>
      <w:r w:rsidR="00026561">
        <w:t>c</w:t>
      </w:r>
      <w:r>
        <w:t>hapter</w:t>
      </w:r>
      <w:r w:rsidR="00026561">
        <w:t xml:space="preserve"> d</w:t>
      </w:r>
      <w:r>
        <w:t>evelopment</w:t>
      </w:r>
    </w:p>
    <w:p w14:paraId="77140020" w14:textId="12B875EB" w:rsidR="00570EFC" w:rsidRDefault="00DC7BE5" w:rsidP="004607DD">
      <w:pPr>
        <w:keepNext/>
        <w:rPr>
          <w:rFonts w:ascii="Arial" w:eastAsiaTheme="minorHAnsi" w:hAnsi="Arial"/>
        </w:rPr>
      </w:pPr>
      <w:r>
        <w:t>Table 4 o</w:t>
      </w:r>
      <w:r w:rsidR="00570EFC">
        <w:t>utlines the anticipated chapters in the business case and the responsible authors.</w:t>
      </w:r>
      <w:bookmarkStart w:id="3" w:name="_bookmark0"/>
      <w:bookmarkEnd w:id="3"/>
    </w:p>
    <w:p w14:paraId="5555CDD9" w14:textId="01A2CDCF" w:rsidR="00570EFC" w:rsidRDefault="00570EFC" w:rsidP="004607DD">
      <w:pPr>
        <w:keepNext/>
        <w:rPr>
          <w:b/>
          <w:bCs/>
        </w:rPr>
      </w:pPr>
      <w:r>
        <w:rPr>
          <w:b/>
          <w:bCs/>
        </w:rPr>
        <w:t xml:space="preserve">Table 4: Detailed Business Case </w:t>
      </w:r>
      <w:r w:rsidR="00026561">
        <w:rPr>
          <w:b/>
          <w:bCs/>
        </w:rPr>
        <w:t>c</w:t>
      </w:r>
      <w:r>
        <w:rPr>
          <w:b/>
          <w:bCs/>
        </w:rPr>
        <w:t xml:space="preserve">hapters and </w:t>
      </w:r>
      <w:r w:rsidR="00026561">
        <w:rPr>
          <w:b/>
          <w:bCs/>
        </w:rPr>
        <w:t>a</w:t>
      </w:r>
      <w:r>
        <w:rPr>
          <w:b/>
          <w:bCs/>
        </w:rPr>
        <w:t>uthors</w:t>
      </w:r>
    </w:p>
    <w:tbl>
      <w:tblPr>
        <w:tblStyle w:val="Table-QldBlue"/>
        <w:tblW w:w="5000" w:type="pct"/>
        <w:tblLayout w:type="fixed"/>
        <w:tblLook w:val="01E0" w:firstRow="1" w:lastRow="1" w:firstColumn="1" w:lastColumn="1" w:noHBand="0" w:noVBand="0"/>
      </w:tblPr>
      <w:tblGrid>
        <w:gridCol w:w="612"/>
        <w:gridCol w:w="4321"/>
        <w:gridCol w:w="5547"/>
      </w:tblGrid>
      <w:tr w:rsidR="00570EFC" w14:paraId="2D6D2000" w14:textId="77777777" w:rsidTr="00570EF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4798" w:type="dxa"/>
            <w:gridSpan w:val="2"/>
            <w:hideMark/>
          </w:tcPr>
          <w:p w14:paraId="57C6F258" w14:textId="54E39935" w:rsidR="00570EFC" w:rsidRPr="00570EFC" w:rsidRDefault="0077113E">
            <w:pPr>
              <w:pStyle w:val="BodyText"/>
              <w:tabs>
                <w:tab w:val="left" w:pos="10206"/>
              </w:tabs>
              <w:spacing w:before="119" w:line="264" w:lineRule="auto"/>
              <w:ind w:left="142" w:right="-2"/>
              <w:rPr>
                <w:rFonts w:ascii="Noto Sans" w:hAnsi="Noto Sans" w:cs="Noto Sans"/>
                <w:color w:val="FFFFFF" w:themeColor="background1"/>
              </w:rPr>
            </w:pPr>
            <w:r>
              <w:rPr>
                <w:rFonts w:ascii="Noto Sans" w:hAnsi="Noto Sans" w:cs="Noto Sans"/>
                <w:color w:val="FFFFFF" w:themeColor="background1"/>
              </w:rPr>
              <w:t>Chapter</w:t>
            </w:r>
          </w:p>
        </w:tc>
        <w:tc>
          <w:tcPr>
            <w:tcW w:w="5396" w:type="dxa"/>
            <w:hideMark/>
          </w:tcPr>
          <w:p w14:paraId="064C051F" w14:textId="2A2A79BA" w:rsidR="00570EFC" w:rsidRPr="00570EFC" w:rsidRDefault="0077113E">
            <w:pPr>
              <w:pStyle w:val="BodyText"/>
              <w:tabs>
                <w:tab w:val="left" w:pos="10206"/>
              </w:tabs>
              <w:spacing w:before="119" w:line="264" w:lineRule="auto"/>
              <w:ind w:left="142" w:right="-2"/>
              <w:cnfStyle w:val="100000000000" w:firstRow="1" w:lastRow="0" w:firstColumn="0" w:lastColumn="0" w:oddVBand="0" w:evenVBand="0" w:oddHBand="0" w:evenHBand="0" w:firstRowFirstColumn="0" w:firstRowLastColumn="0" w:lastRowFirstColumn="0" w:lastRowLastColumn="0"/>
              <w:rPr>
                <w:rFonts w:ascii="Noto Sans" w:hAnsi="Noto Sans" w:cs="Noto Sans"/>
                <w:color w:val="FFFFFF" w:themeColor="background1"/>
              </w:rPr>
            </w:pPr>
            <w:r>
              <w:rPr>
                <w:rFonts w:ascii="Noto Sans" w:hAnsi="Noto Sans" w:cs="Noto Sans"/>
                <w:color w:val="FFFFFF" w:themeColor="background1"/>
              </w:rPr>
              <w:t>Author</w:t>
            </w:r>
          </w:p>
        </w:tc>
      </w:tr>
      <w:tr w:rsidR="00570EFC" w14:paraId="12B10F2F" w14:textId="77777777" w:rsidTr="00570EFC">
        <w:trPr>
          <w:trHeight w:val="362"/>
        </w:trPr>
        <w:tc>
          <w:tcPr>
            <w:cnfStyle w:val="001000000000" w:firstRow="0" w:lastRow="0" w:firstColumn="1" w:lastColumn="0" w:oddVBand="0" w:evenVBand="0" w:oddHBand="0" w:evenHBand="0" w:firstRowFirstColumn="0" w:firstRowLastColumn="0" w:lastRowFirstColumn="0" w:lastRowLastColumn="0"/>
            <w:tcW w:w="595" w:type="dxa"/>
            <w:hideMark/>
          </w:tcPr>
          <w:p w14:paraId="4E715A25" w14:textId="77777777" w:rsidR="00570EFC" w:rsidRPr="00026561" w:rsidRDefault="00570EFC">
            <w:pPr>
              <w:jc w:val="center"/>
              <w:rPr>
                <w:highlight w:val="yellow"/>
              </w:rPr>
            </w:pPr>
            <w:r w:rsidRPr="00026561">
              <w:rPr>
                <w:highlight w:val="yellow"/>
              </w:rPr>
              <w:t>-</w:t>
            </w:r>
          </w:p>
        </w:tc>
        <w:tc>
          <w:tcPr>
            <w:tcW w:w="4203" w:type="dxa"/>
            <w:hideMark/>
          </w:tcPr>
          <w:p w14:paraId="6D9C157B"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Executive Summary</w:t>
            </w:r>
          </w:p>
        </w:tc>
        <w:tc>
          <w:tcPr>
            <w:tcW w:w="5396" w:type="dxa"/>
            <w:hideMark/>
          </w:tcPr>
          <w:p w14:paraId="17F0F9EF"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 xml:space="preserve">Business Case Management Services </w:t>
            </w:r>
          </w:p>
        </w:tc>
      </w:tr>
      <w:tr w:rsidR="00570EFC" w14:paraId="2EB3794F" w14:textId="77777777" w:rsidTr="00570EFC">
        <w:trPr>
          <w:trHeight w:val="364"/>
        </w:trPr>
        <w:tc>
          <w:tcPr>
            <w:cnfStyle w:val="001000000000" w:firstRow="0" w:lastRow="0" w:firstColumn="1" w:lastColumn="0" w:oddVBand="0" w:evenVBand="0" w:oddHBand="0" w:evenHBand="0" w:firstRowFirstColumn="0" w:firstRowLastColumn="0" w:lastRowFirstColumn="0" w:lastRowLastColumn="0"/>
            <w:tcW w:w="595" w:type="dxa"/>
            <w:hideMark/>
          </w:tcPr>
          <w:p w14:paraId="2DA02AE2" w14:textId="77777777" w:rsidR="00570EFC" w:rsidRPr="00026561" w:rsidRDefault="00570EFC">
            <w:pPr>
              <w:jc w:val="center"/>
              <w:rPr>
                <w:highlight w:val="yellow"/>
              </w:rPr>
            </w:pPr>
            <w:r w:rsidRPr="00026561">
              <w:rPr>
                <w:highlight w:val="yellow"/>
              </w:rPr>
              <w:t>1</w:t>
            </w:r>
          </w:p>
        </w:tc>
        <w:tc>
          <w:tcPr>
            <w:tcW w:w="4203" w:type="dxa"/>
            <w:hideMark/>
          </w:tcPr>
          <w:p w14:paraId="7499EB67"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Governance</w:t>
            </w:r>
          </w:p>
        </w:tc>
        <w:tc>
          <w:tcPr>
            <w:tcW w:w="5396" w:type="dxa"/>
            <w:hideMark/>
          </w:tcPr>
          <w:p w14:paraId="4FE8BD50"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 xml:space="preserve">Business Case Management Services </w:t>
            </w:r>
          </w:p>
        </w:tc>
      </w:tr>
      <w:tr w:rsidR="00570EFC" w14:paraId="4A6BA2D1" w14:textId="77777777" w:rsidTr="00570EFC">
        <w:trPr>
          <w:trHeight w:val="364"/>
        </w:trPr>
        <w:tc>
          <w:tcPr>
            <w:cnfStyle w:val="001000000000" w:firstRow="0" w:lastRow="0" w:firstColumn="1" w:lastColumn="0" w:oddVBand="0" w:evenVBand="0" w:oddHBand="0" w:evenHBand="0" w:firstRowFirstColumn="0" w:firstRowLastColumn="0" w:lastRowFirstColumn="0" w:lastRowLastColumn="0"/>
            <w:tcW w:w="595" w:type="dxa"/>
            <w:hideMark/>
          </w:tcPr>
          <w:p w14:paraId="36419DF9" w14:textId="77777777" w:rsidR="00570EFC" w:rsidRPr="00026561" w:rsidRDefault="00570EFC">
            <w:pPr>
              <w:jc w:val="center"/>
              <w:rPr>
                <w:highlight w:val="yellow"/>
              </w:rPr>
            </w:pPr>
            <w:r w:rsidRPr="00026561">
              <w:rPr>
                <w:highlight w:val="yellow"/>
              </w:rPr>
              <w:t>2</w:t>
            </w:r>
          </w:p>
        </w:tc>
        <w:tc>
          <w:tcPr>
            <w:tcW w:w="4203" w:type="dxa"/>
            <w:hideMark/>
          </w:tcPr>
          <w:p w14:paraId="0E561DDF"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Methodology</w:t>
            </w:r>
          </w:p>
        </w:tc>
        <w:tc>
          <w:tcPr>
            <w:tcW w:w="5396" w:type="dxa"/>
            <w:hideMark/>
          </w:tcPr>
          <w:p w14:paraId="18C4A145"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 xml:space="preserve">Business Case Management Services </w:t>
            </w:r>
          </w:p>
        </w:tc>
      </w:tr>
      <w:tr w:rsidR="00570EFC" w14:paraId="51391E7E" w14:textId="77777777" w:rsidTr="00570EFC">
        <w:trPr>
          <w:trHeight w:val="364"/>
        </w:trPr>
        <w:tc>
          <w:tcPr>
            <w:cnfStyle w:val="001000000000" w:firstRow="0" w:lastRow="0" w:firstColumn="1" w:lastColumn="0" w:oddVBand="0" w:evenVBand="0" w:oddHBand="0" w:evenHBand="0" w:firstRowFirstColumn="0" w:firstRowLastColumn="0" w:lastRowFirstColumn="0" w:lastRowLastColumn="0"/>
            <w:tcW w:w="595" w:type="dxa"/>
            <w:hideMark/>
          </w:tcPr>
          <w:p w14:paraId="1E520218" w14:textId="77777777" w:rsidR="00570EFC" w:rsidRPr="00026561" w:rsidRDefault="00570EFC">
            <w:pPr>
              <w:jc w:val="center"/>
              <w:rPr>
                <w:highlight w:val="yellow"/>
              </w:rPr>
            </w:pPr>
            <w:r w:rsidRPr="00026561">
              <w:rPr>
                <w:highlight w:val="yellow"/>
              </w:rPr>
              <w:t>3</w:t>
            </w:r>
          </w:p>
        </w:tc>
        <w:tc>
          <w:tcPr>
            <w:tcW w:w="4203" w:type="dxa"/>
            <w:hideMark/>
          </w:tcPr>
          <w:p w14:paraId="4B272836"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Background</w:t>
            </w:r>
          </w:p>
        </w:tc>
        <w:tc>
          <w:tcPr>
            <w:tcW w:w="5396" w:type="dxa"/>
            <w:hideMark/>
          </w:tcPr>
          <w:p w14:paraId="383E831F"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 xml:space="preserve">Business Case Management Services </w:t>
            </w:r>
          </w:p>
        </w:tc>
      </w:tr>
      <w:tr w:rsidR="00570EFC" w14:paraId="0E720941" w14:textId="77777777" w:rsidTr="00570EFC">
        <w:trPr>
          <w:trHeight w:val="364"/>
        </w:trPr>
        <w:tc>
          <w:tcPr>
            <w:cnfStyle w:val="001000000000" w:firstRow="0" w:lastRow="0" w:firstColumn="1" w:lastColumn="0" w:oddVBand="0" w:evenVBand="0" w:oddHBand="0" w:evenHBand="0" w:firstRowFirstColumn="0" w:firstRowLastColumn="0" w:lastRowFirstColumn="0" w:lastRowLastColumn="0"/>
            <w:tcW w:w="595" w:type="dxa"/>
            <w:hideMark/>
          </w:tcPr>
          <w:p w14:paraId="1753A6A3" w14:textId="77777777" w:rsidR="00570EFC" w:rsidRPr="00026561" w:rsidRDefault="00570EFC">
            <w:pPr>
              <w:jc w:val="center"/>
              <w:rPr>
                <w:highlight w:val="yellow"/>
              </w:rPr>
            </w:pPr>
            <w:r w:rsidRPr="00026561">
              <w:rPr>
                <w:highlight w:val="yellow"/>
              </w:rPr>
              <w:t>4</w:t>
            </w:r>
          </w:p>
        </w:tc>
        <w:tc>
          <w:tcPr>
            <w:tcW w:w="4203" w:type="dxa"/>
            <w:hideMark/>
          </w:tcPr>
          <w:p w14:paraId="7F2C6D0A"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Service Need</w:t>
            </w:r>
          </w:p>
        </w:tc>
        <w:tc>
          <w:tcPr>
            <w:tcW w:w="5396" w:type="dxa"/>
            <w:hideMark/>
          </w:tcPr>
          <w:p w14:paraId="666010D1"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 xml:space="preserve">Business Case Management Services </w:t>
            </w:r>
          </w:p>
        </w:tc>
      </w:tr>
      <w:tr w:rsidR="00570EFC" w14:paraId="2B462422" w14:textId="77777777" w:rsidTr="00570EFC">
        <w:trPr>
          <w:trHeight w:val="362"/>
        </w:trPr>
        <w:tc>
          <w:tcPr>
            <w:cnfStyle w:val="001000000000" w:firstRow="0" w:lastRow="0" w:firstColumn="1" w:lastColumn="0" w:oddVBand="0" w:evenVBand="0" w:oddHBand="0" w:evenHBand="0" w:firstRowFirstColumn="0" w:firstRowLastColumn="0" w:lastRowFirstColumn="0" w:lastRowLastColumn="0"/>
            <w:tcW w:w="595" w:type="dxa"/>
            <w:hideMark/>
          </w:tcPr>
          <w:p w14:paraId="47D9C899" w14:textId="77777777" w:rsidR="00570EFC" w:rsidRPr="00026561" w:rsidRDefault="00570EFC">
            <w:pPr>
              <w:jc w:val="center"/>
              <w:rPr>
                <w:highlight w:val="yellow"/>
              </w:rPr>
            </w:pPr>
            <w:r w:rsidRPr="00026561">
              <w:rPr>
                <w:highlight w:val="yellow"/>
              </w:rPr>
              <w:t>5</w:t>
            </w:r>
          </w:p>
        </w:tc>
        <w:tc>
          <w:tcPr>
            <w:tcW w:w="4203" w:type="dxa"/>
            <w:hideMark/>
          </w:tcPr>
          <w:p w14:paraId="08F16216"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Base Case</w:t>
            </w:r>
          </w:p>
        </w:tc>
        <w:tc>
          <w:tcPr>
            <w:tcW w:w="5396" w:type="dxa"/>
            <w:hideMark/>
          </w:tcPr>
          <w:p w14:paraId="2F4CAAED"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 xml:space="preserve">Business Case Management Services </w:t>
            </w:r>
          </w:p>
        </w:tc>
      </w:tr>
      <w:tr w:rsidR="00570EFC" w14:paraId="149D0E4D" w14:textId="77777777" w:rsidTr="00570EFC">
        <w:trPr>
          <w:trHeight w:val="362"/>
        </w:trPr>
        <w:tc>
          <w:tcPr>
            <w:cnfStyle w:val="001000000000" w:firstRow="0" w:lastRow="0" w:firstColumn="1" w:lastColumn="0" w:oddVBand="0" w:evenVBand="0" w:oddHBand="0" w:evenHBand="0" w:firstRowFirstColumn="0" w:firstRowLastColumn="0" w:lastRowFirstColumn="0" w:lastRowLastColumn="0"/>
            <w:tcW w:w="595" w:type="dxa"/>
            <w:hideMark/>
          </w:tcPr>
          <w:p w14:paraId="3CE5049E" w14:textId="77777777" w:rsidR="00570EFC" w:rsidRPr="00026561" w:rsidRDefault="00570EFC">
            <w:pPr>
              <w:jc w:val="center"/>
              <w:rPr>
                <w:highlight w:val="yellow"/>
              </w:rPr>
            </w:pPr>
            <w:r w:rsidRPr="00026561">
              <w:rPr>
                <w:highlight w:val="yellow"/>
              </w:rPr>
              <w:t>6</w:t>
            </w:r>
          </w:p>
        </w:tc>
        <w:tc>
          <w:tcPr>
            <w:tcW w:w="4203" w:type="dxa"/>
            <w:hideMark/>
          </w:tcPr>
          <w:p w14:paraId="38EEFA30"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Options, Site Analysis and Masterplan</w:t>
            </w:r>
          </w:p>
        </w:tc>
        <w:tc>
          <w:tcPr>
            <w:tcW w:w="5396" w:type="dxa"/>
            <w:hideMark/>
          </w:tcPr>
          <w:p w14:paraId="4300E6A5"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Technical advisor</w:t>
            </w:r>
          </w:p>
        </w:tc>
      </w:tr>
      <w:tr w:rsidR="00570EFC" w14:paraId="4ED99F0A" w14:textId="77777777" w:rsidTr="00570EFC">
        <w:trPr>
          <w:trHeight w:val="364"/>
        </w:trPr>
        <w:tc>
          <w:tcPr>
            <w:cnfStyle w:val="001000000000" w:firstRow="0" w:lastRow="0" w:firstColumn="1" w:lastColumn="0" w:oddVBand="0" w:evenVBand="0" w:oddHBand="0" w:evenHBand="0" w:firstRowFirstColumn="0" w:firstRowLastColumn="0" w:lastRowFirstColumn="0" w:lastRowLastColumn="0"/>
            <w:tcW w:w="595" w:type="dxa"/>
            <w:hideMark/>
          </w:tcPr>
          <w:p w14:paraId="683A68F3" w14:textId="77777777" w:rsidR="00570EFC" w:rsidRPr="00026561" w:rsidRDefault="00570EFC">
            <w:pPr>
              <w:jc w:val="center"/>
              <w:rPr>
                <w:highlight w:val="yellow"/>
              </w:rPr>
            </w:pPr>
            <w:r w:rsidRPr="00026561">
              <w:rPr>
                <w:highlight w:val="yellow"/>
              </w:rPr>
              <w:t>7</w:t>
            </w:r>
          </w:p>
        </w:tc>
        <w:tc>
          <w:tcPr>
            <w:tcW w:w="4203" w:type="dxa"/>
            <w:hideMark/>
          </w:tcPr>
          <w:p w14:paraId="23D92F56"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Reference Project</w:t>
            </w:r>
          </w:p>
        </w:tc>
        <w:tc>
          <w:tcPr>
            <w:tcW w:w="5396" w:type="dxa"/>
            <w:hideMark/>
          </w:tcPr>
          <w:p w14:paraId="5DF9AFC9"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Technical advisor</w:t>
            </w:r>
          </w:p>
        </w:tc>
      </w:tr>
      <w:tr w:rsidR="00570EFC" w14:paraId="318C5FC5" w14:textId="77777777" w:rsidTr="00570EFC">
        <w:trPr>
          <w:trHeight w:val="364"/>
        </w:trPr>
        <w:tc>
          <w:tcPr>
            <w:cnfStyle w:val="001000000000" w:firstRow="0" w:lastRow="0" w:firstColumn="1" w:lastColumn="0" w:oddVBand="0" w:evenVBand="0" w:oddHBand="0" w:evenHBand="0" w:firstRowFirstColumn="0" w:firstRowLastColumn="0" w:lastRowFirstColumn="0" w:lastRowLastColumn="0"/>
            <w:tcW w:w="595" w:type="dxa"/>
            <w:hideMark/>
          </w:tcPr>
          <w:p w14:paraId="0DB7277D" w14:textId="77777777" w:rsidR="00570EFC" w:rsidRPr="00026561" w:rsidRDefault="00570EFC">
            <w:pPr>
              <w:jc w:val="center"/>
              <w:rPr>
                <w:highlight w:val="yellow"/>
              </w:rPr>
            </w:pPr>
            <w:r w:rsidRPr="00026561">
              <w:rPr>
                <w:highlight w:val="yellow"/>
              </w:rPr>
              <w:t>8</w:t>
            </w:r>
          </w:p>
        </w:tc>
        <w:tc>
          <w:tcPr>
            <w:tcW w:w="4203" w:type="dxa"/>
            <w:hideMark/>
          </w:tcPr>
          <w:p w14:paraId="4672AC9E"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Information and Communications Technology</w:t>
            </w:r>
          </w:p>
        </w:tc>
        <w:tc>
          <w:tcPr>
            <w:tcW w:w="5396" w:type="dxa"/>
            <w:hideMark/>
          </w:tcPr>
          <w:p w14:paraId="38550ACE"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Technical advisor</w:t>
            </w:r>
          </w:p>
        </w:tc>
      </w:tr>
      <w:tr w:rsidR="00570EFC" w14:paraId="334205E6" w14:textId="77777777" w:rsidTr="00570EFC">
        <w:trPr>
          <w:trHeight w:val="362"/>
        </w:trPr>
        <w:tc>
          <w:tcPr>
            <w:cnfStyle w:val="001000000000" w:firstRow="0" w:lastRow="0" w:firstColumn="1" w:lastColumn="0" w:oddVBand="0" w:evenVBand="0" w:oddHBand="0" w:evenHBand="0" w:firstRowFirstColumn="0" w:firstRowLastColumn="0" w:lastRowFirstColumn="0" w:lastRowLastColumn="0"/>
            <w:tcW w:w="595" w:type="dxa"/>
            <w:hideMark/>
          </w:tcPr>
          <w:p w14:paraId="7142E7B9" w14:textId="77777777" w:rsidR="00570EFC" w:rsidRPr="00026561" w:rsidRDefault="00570EFC">
            <w:pPr>
              <w:jc w:val="center"/>
              <w:rPr>
                <w:highlight w:val="yellow"/>
              </w:rPr>
            </w:pPr>
            <w:r w:rsidRPr="00026561">
              <w:rPr>
                <w:highlight w:val="yellow"/>
              </w:rPr>
              <w:t>9</w:t>
            </w:r>
          </w:p>
        </w:tc>
        <w:tc>
          <w:tcPr>
            <w:tcW w:w="4203" w:type="dxa"/>
            <w:hideMark/>
          </w:tcPr>
          <w:p w14:paraId="2EC09846"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Strategic Consideration</w:t>
            </w:r>
          </w:p>
        </w:tc>
        <w:tc>
          <w:tcPr>
            <w:tcW w:w="5396" w:type="dxa"/>
            <w:hideMark/>
          </w:tcPr>
          <w:p w14:paraId="2D9E76D8"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 xml:space="preserve">Business Case Management Services </w:t>
            </w:r>
          </w:p>
        </w:tc>
      </w:tr>
      <w:tr w:rsidR="00570EFC" w14:paraId="3E0A1062" w14:textId="77777777" w:rsidTr="00570EFC">
        <w:trPr>
          <w:trHeight w:val="364"/>
        </w:trPr>
        <w:tc>
          <w:tcPr>
            <w:cnfStyle w:val="001000000000" w:firstRow="0" w:lastRow="0" w:firstColumn="1" w:lastColumn="0" w:oddVBand="0" w:evenVBand="0" w:oddHBand="0" w:evenHBand="0" w:firstRowFirstColumn="0" w:firstRowLastColumn="0" w:lastRowFirstColumn="0" w:lastRowLastColumn="0"/>
            <w:tcW w:w="595" w:type="dxa"/>
            <w:hideMark/>
          </w:tcPr>
          <w:p w14:paraId="06E922B2" w14:textId="77777777" w:rsidR="00570EFC" w:rsidRPr="00026561" w:rsidRDefault="00570EFC">
            <w:pPr>
              <w:jc w:val="center"/>
              <w:rPr>
                <w:highlight w:val="yellow"/>
              </w:rPr>
            </w:pPr>
            <w:r w:rsidRPr="00026561">
              <w:rPr>
                <w:highlight w:val="yellow"/>
              </w:rPr>
              <w:t>10</w:t>
            </w:r>
          </w:p>
        </w:tc>
        <w:tc>
          <w:tcPr>
            <w:tcW w:w="4203" w:type="dxa"/>
            <w:hideMark/>
          </w:tcPr>
          <w:p w14:paraId="38E4CDD9"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Legal &amp; Regulatory</w:t>
            </w:r>
          </w:p>
        </w:tc>
        <w:tc>
          <w:tcPr>
            <w:tcW w:w="5396" w:type="dxa"/>
            <w:hideMark/>
          </w:tcPr>
          <w:p w14:paraId="3CB9C6BD"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Legal advisor</w:t>
            </w:r>
          </w:p>
        </w:tc>
      </w:tr>
      <w:tr w:rsidR="00570EFC" w14:paraId="686BDE62" w14:textId="77777777" w:rsidTr="00570EFC">
        <w:trPr>
          <w:trHeight w:val="364"/>
        </w:trPr>
        <w:tc>
          <w:tcPr>
            <w:cnfStyle w:val="001000000000" w:firstRow="0" w:lastRow="0" w:firstColumn="1" w:lastColumn="0" w:oddVBand="0" w:evenVBand="0" w:oddHBand="0" w:evenHBand="0" w:firstRowFirstColumn="0" w:firstRowLastColumn="0" w:lastRowFirstColumn="0" w:lastRowLastColumn="0"/>
            <w:tcW w:w="595" w:type="dxa"/>
            <w:hideMark/>
          </w:tcPr>
          <w:p w14:paraId="232363A2" w14:textId="77777777" w:rsidR="00570EFC" w:rsidRPr="00026561" w:rsidRDefault="00570EFC">
            <w:pPr>
              <w:jc w:val="center"/>
              <w:rPr>
                <w:highlight w:val="yellow"/>
              </w:rPr>
            </w:pPr>
            <w:r w:rsidRPr="00026561">
              <w:rPr>
                <w:highlight w:val="yellow"/>
              </w:rPr>
              <w:t>11</w:t>
            </w:r>
          </w:p>
        </w:tc>
        <w:tc>
          <w:tcPr>
            <w:tcW w:w="4203" w:type="dxa"/>
            <w:hideMark/>
          </w:tcPr>
          <w:p w14:paraId="1FB20423"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Market Considerations</w:t>
            </w:r>
          </w:p>
        </w:tc>
        <w:tc>
          <w:tcPr>
            <w:tcW w:w="5396" w:type="dxa"/>
            <w:hideMark/>
          </w:tcPr>
          <w:p w14:paraId="0B5574BB"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Financial advisor</w:t>
            </w:r>
          </w:p>
        </w:tc>
      </w:tr>
      <w:tr w:rsidR="00570EFC" w14:paraId="56444037" w14:textId="77777777" w:rsidTr="00570EFC">
        <w:trPr>
          <w:trHeight w:val="364"/>
        </w:trPr>
        <w:tc>
          <w:tcPr>
            <w:cnfStyle w:val="001000000000" w:firstRow="0" w:lastRow="0" w:firstColumn="1" w:lastColumn="0" w:oddVBand="0" w:evenVBand="0" w:oddHBand="0" w:evenHBand="0" w:firstRowFirstColumn="0" w:firstRowLastColumn="0" w:lastRowFirstColumn="0" w:lastRowLastColumn="0"/>
            <w:tcW w:w="595" w:type="dxa"/>
            <w:hideMark/>
          </w:tcPr>
          <w:p w14:paraId="0D3F3523" w14:textId="77777777" w:rsidR="00570EFC" w:rsidRPr="00026561" w:rsidRDefault="00570EFC">
            <w:pPr>
              <w:jc w:val="center"/>
              <w:rPr>
                <w:highlight w:val="yellow"/>
              </w:rPr>
            </w:pPr>
            <w:r w:rsidRPr="00026561">
              <w:rPr>
                <w:highlight w:val="yellow"/>
              </w:rPr>
              <w:t>12</w:t>
            </w:r>
          </w:p>
        </w:tc>
        <w:tc>
          <w:tcPr>
            <w:tcW w:w="4203" w:type="dxa"/>
            <w:hideMark/>
          </w:tcPr>
          <w:p w14:paraId="4CE649E5"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Public Interest</w:t>
            </w:r>
          </w:p>
        </w:tc>
        <w:tc>
          <w:tcPr>
            <w:tcW w:w="5396" w:type="dxa"/>
            <w:hideMark/>
          </w:tcPr>
          <w:p w14:paraId="39ADA94A"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Social Impact advisor</w:t>
            </w:r>
          </w:p>
        </w:tc>
      </w:tr>
      <w:tr w:rsidR="00570EFC" w14:paraId="09EA46E9" w14:textId="77777777" w:rsidTr="00570EFC">
        <w:trPr>
          <w:trHeight w:val="364"/>
        </w:trPr>
        <w:tc>
          <w:tcPr>
            <w:cnfStyle w:val="001000000000" w:firstRow="0" w:lastRow="0" w:firstColumn="1" w:lastColumn="0" w:oddVBand="0" w:evenVBand="0" w:oddHBand="0" w:evenHBand="0" w:firstRowFirstColumn="0" w:firstRowLastColumn="0" w:lastRowFirstColumn="0" w:lastRowLastColumn="0"/>
            <w:tcW w:w="595" w:type="dxa"/>
            <w:hideMark/>
          </w:tcPr>
          <w:p w14:paraId="13607100" w14:textId="77777777" w:rsidR="00570EFC" w:rsidRPr="00026561" w:rsidRDefault="00570EFC">
            <w:pPr>
              <w:jc w:val="center"/>
              <w:rPr>
                <w:highlight w:val="yellow"/>
              </w:rPr>
            </w:pPr>
            <w:r w:rsidRPr="00026561">
              <w:rPr>
                <w:highlight w:val="yellow"/>
              </w:rPr>
              <w:t>13</w:t>
            </w:r>
          </w:p>
        </w:tc>
        <w:tc>
          <w:tcPr>
            <w:tcW w:w="4203" w:type="dxa"/>
            <w:hideMark/>
          </w:tcPr>
          <w:p w14:paraId="75DBB981"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Sustainability</w:t>
            </w:r>
          </w:p>
        </w:tc>
        <w:tc>
          <w:tcPr>
            <w:tcW w:w="5396" w:type="dxa"/>
            <w:hideMark/>
          </w:tcPr>
          <w:p w14:paraId="09688606"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Social Impact advisor</w:t>
            </w:r>
          </w:p>
        </w:tc>
      </w:tr>
      <w:tr w:rsidR="00570EFC" w14:paraId="4227DD09" w14:textId="77777777" w:rsidTr="00570EFC">
        <w:trPr>
          <w:trHeight w:val="364"/>
        </w:trPr>
        <w:tc>
          <w:tcPr>
            <w:cnfStyle w:val="001000000000" w:firstRow="0" w:lastRow="0" w:firstColumn="1" w:lastColumn="0" w:oddVBand="0" w:evenVBand="0" w:oddHBand="0" w:evenHBand="0" w:firstRowFirstColumn="0" w:firstRowLastColumn="0" w:lastRowFirstColumn="0" w:lastRowLastColumn="0"/>
            <w:tcW w:w="595" w:type="dxa"/>
            <w:hideMark/>
          </w:tcPr>
          <w:p w14:paraId="7BAF0AFE" w14:textId="77777777" w:rsidR="00570EFC" w:rsidRPr="00026561" w:rsidRDefault="00570EFC">
            <w:pPr>
              <w:jc w:val="center"/>
              <w:rPr>
                <w:highlight w:val="yellow"/>
              </w:rPr>
            </w:pPr>
            <w:r w:rsidRPr="00026561">
              <w:rPr>
                <w:highlight w:val="yellow"/>
              </w:rPr>
              <w:t>14</w:t>
            </w:r>
          </w:p>
        </w:tc>
        <w:tc>
          <w:tcPr>
            <w:tcW w:w="4203" w:type="dxa"/>
            <w:hideMark/>
          </w:tcPr>
          <w:p w14:paraId="0545B4E1"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Social Impact Evaluation</w:t>
            </w:r>
          </w:p>
        </w:tc>
        <w:tc>
          <w:tcPr>
            <w:tcW w:w="5396" w:type="dxa"/>
            <w:hideMark/>
          </w:tcPr>
          <w:p w14:paraId="5E38BFED"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Social Impact advisor</w:t>
            </w:r>
          </w:p>
        </w:tc>
      </w:tr>
      <w:tr w:rsidR="00570EFC" w14:paraId="6D04DE02" w14:textId="77777777" w:rsidTr="00570EFC">
        <w:trPr>
          <w:trHeight w:val="364"/>
        </w:trPr>
        <w:tc>
          <w:tcPr>
            <w:cnfStyle w:val="001000000000" w:firstRow="0" w:lastRow="0" w:firstColumn="1" w:lastColumn="0" w:oddVBand="0" w:evenVBand="0" w:oddHBand="0" w:evenHBand="0" w:firstRowFirstColumn="0" w:firstRowLastColumn="0" w:lastRowFirstColumn="0" w:lastRowLastColumn="0"/>
            <w:tcW w:w="595" w:type="dxa"/>
            <w:hideMark/>
          </w:tcPr>
          <w:p w14:paraId="0E57785E" w14:textId="77777777" w:rsidR="00570EFC" w:rsidRPr="00026561" w:rsidRDefault="00570EFC">
            <w:pPr>
              <w:jc w:val="center"/>
              <w:rPr>
                <w:highlight w:val="yellow"/>
              </w:rPr>
            </w:pPr>
            <w:r w:rsidRPr="00026561">
              <w:rPr>
                <w:highlight w:val="yellow"/>
              </w:rPr>
              <w:t>15</w:t>
            </w:r>
          </w:p>
        </w:tc>
        <w:tc>
          <w:tcPr>
            <w:tcW w:w="4203" w:type="dxa"/>
            <w:hideMark/>
          </w:tcPr>
          <w:p w14:paraId="4CB1564F"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Environmental Assessment</w:t>
            </w:r>
          </w:p>
        </w:tc>
        <w:tc>
          <w:tcPr>
            <w:tcW w:w="5396" w:type="dxa"/>
            <w:hideMark/>
          </w:tcPr>
          <w:p w14:paraId="4A48FC53"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Technical advisor</w:t>
            </w:r>
          </w:p>
        </w:tc>
      </w:tr>
      <w:tr w:rsidR="00570EFC" w14:paraId="55A3834F" w14:textId="77777777" w:rsidTr="00570EFC">
        <w:trPr>
          <w:trHeight w:val="364"/>
        </w:trPr>
        <w:tc>
          <w:tcPr>
            <w:cnfStyle w:val="001000000000" w:firstRow="0" w:lastRow="0" w:firstColumn="1" w:lastColumn="0" w:oddVBand="0" w:evenVBand="0" w:oddHBand="0" w:evenHBand="0" w:firstRowFirstColumn="0" w:firstRowLastColumn="0" w:lastRowFirstColumn="0" w:lastRowLastColumn="0"/>
            <w:tcW w:w="595" w:type="dxa"/>
            <w:hideMark/>
          </w:tcPr>
          <w:p w14:paraId="6EC5D51B" w14:textId="77777777" w:rsidR="00570EFC" w:rsidRPr="00026561" w:rsidRDefault="00570EFC">
            <w:pPr>
              <w:jc w:val="center"/>
              <w:rPr>
                <w:highlight w:val="yellow"/>
              </w:rPr>
            </w:pPr>
            <w:r w:rsidRPr="00026561">
              <w:rPr>
                <w:highlight w:val="yellow"/>
              </w:rPr>
              <w:t>16</w:t>
            </w:r>
          </w:p>
        </w:tc>
        <w:tc>
          <w:tcPr>
            <w:tcW w:w="4203" w:type="dxa"/>
            <w:hideMark/>
          </w:tcPr>
          <w:p w14:paraId="368D59AE"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Economic Analysis</w:t>
            </w:r>
          </w:p>
        </w:tc>
        <w:tc>
          <w:tcPr>
            <w:tcW w:w="5396" w:type="dxa"/>
            <w:hideMark/>
          </w:tcPr>
          <w:p w14:paraId="67B63F33"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Economics advisor</w:t>
            </w:r>
          </w:p>
        </w:tc>
      </w:tr>
      <w:tr w:rsidR="00570EFC" w14:paraId="2C467857" w14:textId="77777777" w:rsidTr="00570EFC">
        <w:trPr>
          <w:trHeight w:val="364"/>
        </w:trPr>
        <w:tc>
          <w:tcPr>
            <w:cnfStyle w:val="001000000000" w:firstRow="0" w:lastRow="0" w:firstColumn="1" w:lastColumn="0" w:oddVBand="0" w:evenVBand="0" w:oddHBand="0" w:evenHBand="0" w:firstRowFirstColumn="0" w:firstRowLastColumn="0" w:lastRowFirstColumn="0" w:lastRowLastColumn="0"/>
            <w:tcW w:w="595" w:type="dxa"/>
            <w:hideMark/>
          </w:tcPr>
          <w:p w14:paraId="7CF14A3B" w14:textId="77777777" w:rsidR="00570EFC" w:rsidRPr="00026561" w:rsidRDefault="00570EFC">
            <w:pPr>
              <w:jc w:val="center"/>
              <w:rPr>
                <w:highlight w:val="yellow"/>
              </w:rPr>
            </w:pPr>
            <w:r w:rsidRPr="00026561">
              <w:rPr>
                <w:highlight w:val="yellow"/>
              </w:rPr>
              <w:t>17</w:t>
            </w:r>
          </w:p>
        </w:tc>
        <w:tc>
          <w:tcPr>
            <w:tcW w:w="4203" w:type="dxa"/>
            <w:hideMark/>
          </w:tcPr>
          <w:p w14:paraId="4FB9C626"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Financial</w:t>
            </w:r>
          </w:p>
        </w:tc>
        <w:tc>
          <w:tcPr>
            <w:tcW w:w="5396" w:type="dxa"/>
            <w:hideMark/>
          </w:tcPr>
          <w:p w14:paraId="24F37E71"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Financial advisor</w:t>
            </w:r>
          </w:p>
        </w:tc>
      </w:tr>
      <w:tr w:rsidR="00570EFC" w14:paraId="0CCF78C6" w14:textId="77777777" w:rsidTr="00570EFC">
        <w:trPr>
          <w:trHeight w:val="362"/>
        </w:trPr>
        <w:tc>
          <w:tcPr>
            <w:cnfStyle w:val="001000000000" w:firstRow="0" w:lastRow="0" w:firstColumn="1" w:lastColumn="0" w:oddVBand="0" w:evenVBand="0" w:oddHBand="0" w:evenHBand="0" w:firstRowFirstColumn="0" w:firstRowLastColumn="0" w:lastRowFirstColumn="0" w:lastRowLastColumn="0"/>
            <w:tcW w:w="595" w:type="dxa"/>
            <w:hideMark/>
          </w:tcPr>
          <w:p w14:paraId="2683596E" w14:textId="77777777" w:rsidR="00570EFC" w:rsidRPr="00026561" w:rsidRDefault="00570EFC">
            <w:pPr>
              <w:jc w:val="center"/>
              <w:rPr>
                <w:highlight w:val="yellow"/>
              </w:rPr>
            </w:pPr>
            <w:r w:rsidRPr="00026561">
              <w:rPr>
                <w:highlight w:val="yellow"/>
              </w:rPr>
              <w:t>18</w:t>
            </w:r>
          </w:p>
        </w:tc>
        <w:tc>
          <w:tcPr>
            <w:tcW w:w="4203" w:type="dxa"/>
            <w:hideMark/>
          </w:tcPr>
          <w:p w14:paraId="180A90CD"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Delivery Model Analysis</w:t>
            </w:r>
          </w:p>
        </w:tc>
        <w:tc>
          <w:tcPr>
            <w:tcW w:w="5396" w:type="dxa"/>
            <w:hideMark/>
          </w:tcPr>
          <w:p w14:paraId="6861D905"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Financial advisor</w:t>
            </w:r>
          </w:p>
        </w:tc>
      </w:tr>
      <w:tr w:rsidR="00570EFC" w14:paraId="7304D0AA" w14:textId="77777777" w:rsidTr="00570EFC">
        <w:trPr>
          <w:trHeight w:val="364"/>
        </w:trPr>
        <w:tc>
          <w:tcPr>
            <w:cnfStyle w:val="001000000000" w:firstRow="0" w:lastRow="0" w:firstColumn="1" w:lastColumn="0" w:oddVBand="0" w:evenVBand="0" w:oddHBand="0" w:evenHBand="0" w:firstRowFirstColumn="0" w:firstRowLastColumn="0" w:lastRowFirstColumn="0" w:lastRowLastColumn="0"/>
            <w:tcW w:w="595" w:type="dxa"/>
            <w:hideMark/>
          </w:tcPr>
          <w:p w14:paraId="0E59033F" w14:textId="77777777" w:rsidR="00570EFC" w:rsidRPr="00026561" w:rsidRDefault="00570EFC">
            <w:pPr>
              <w:jc w:val="center"/>
              <w:rPr>
                <w:highlight w:val="yellow"/>
              </w:rPr>
            </w:pPr>
            <w:r w:rsidRPr="00026561">
              <w:rPr>
                <w:highlight w:val="yellow"/>
              </w:rPr>
              <w:t>19</w:t>
            </w:r>
          </w:p>
        </w:tc>
        <w:tc>
          <w:tcPr>
            <w:tcW w:w="4203" w:type="dxa"/>
            <w:hideMark/>
          </w:tcPr>
          <w:p w14:paraId="07DE4E06"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Public Sector Comparator</w:t>
            </w:r>
          </w:p>
        </w:tc>
        <w:tc>
          <w:tcPr>
            <w:tcW w:w="5396" w:type="dxa"/>
            <w:hideMark/>
          </w:tcPr>
          <w:p w14:paraId="7663F040"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Financial advisor</w:t>
            </w:r>
          </w:p>
        </w:tc>
      </w:tr>
      <w:tr w:rsidR="00570EFC" w14:paraId="20215516" w14:textId="77777777" w:rsidTr="00570EFC">
        <w:trPr>
          <w:trHeight w:val="364"/>
        </w:trPr>
        <w:tc>
          <w:tcPr>
            <w:cnfStyle w:val="001000000000" w:firstRow="0" w:lastRow="0" w:firstColumn="1" w:lastColumn="0" w:oddVBand="0" w:evenVBand="0" w:oddHBand="0" w:evenHBand="0" w:firstRowFirstColumn="0" w:firstRowLastColumn="0" w:lastRowFirstColumn="0" w:lastRowLastColumn="0"/>
            <w:tcW w:w="595" w:type="dxa"/>
            <w:hideMark/>
          </w:tcPr>
          <w:p w14:paraId="1AC60F0F" w14:textId="77777777" w:rsidR="00570EFC" w:rsidRPr="00026561" w:rsidRDefault="00570EFC">
            <w:pPr>
              <w:jc w:val="center"/>
              <w:rPr>
                <w:highlight w:val="yellow"/>
              </w:rPr>
            </w:pPr>
            <w:r w:rsidRPr="00026561">
              <w:rPr>
                <w:highlight w:val="yellow"/>
              </w:rPr>
              <w:t>20</w:t>
            </w:r>
          </w:p>
        </w:tc>
        <w:tc>
          <w:tcPr>
            <w:tcW w:w="4203" w:type="dxa"/>
            <w:hideMark/>
          </w:tcPr>
          <w:p w14:paraId="3B3C6B52"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Affordability</w:t>
            </w:r>
          </w:p>
        </w:tc>
        <w:tc>
          <w:tcPr>
            <w:tcW w:w="5396" w:type="dxa"/>
            <w:hideMark/>
          </w:tcPr>
          <w:p w14:paraId="17EDFD76"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Financial advisor</w:t>
            </w:r>
          </w:p>
        </w:tc>
      </w:tr>
      <w:tr w:rsidR="00570EFC" w14:paraId="75809782" w14:textId="77777777" w:rsidTr="00570EFC">
        <w:trPr>
          <w:trHeight w:val="364"/>
        </w:trPr>
        <w:tc>
          <w:tcPr>
            <w:cnfStyle w:val="001000000000" w:firstRow="0" w:lastRow="0" w:firstColumn="1" w:lastColumn="0" w:oddVBand="0" w:evenVBand="0" w:oddHBand="0" w:evenHBand="0" w:firstRowFirstColumn="0" w:firstRowLastColumn="0" w:lastRowFirstColumn="0" w:lastRowLastColumn="0"/>
            <w:tcW w:w="595" w:type="dxa"/>
            <w:hideMark/>
          </w:tcPr>
          <w:p w14:paraId="39C9EFD4" w14:textId="77777777" w:rsidR="00570EFC" w:rsidRPr="00026561" w:rsidRDefault="00570EFC">
            <w:pPr>
              <w:jc w:val="center"/>
              <w:rPr>
                <w:highlight w:val="yellow"/>
              </w:rPr>
            </w:pPr>
            <w:r w:rsidRPr="00026561">
              <w:rPr>
                <w:highlight w:val="yellow"/>
              </w:rPr>
              <w:t>21</w:t>
            </w:r>
          </w:p>
        </w:tc>
        <w:tc>
          <w:tcPr>
            <w:tcW w:w="4203" w:type="dxa"/>
            <w:hideMark/>
          </w:tcPr>
          <w:p w14:paraId="130272C2"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Conclusions</w:t>
            </w:r>
          </w:p>
        </w:tc>
        <w:tc>
          <w:tcPr>
            <w:tcW w:w="5396" w:type="dxa"/>
            <w:hideMark/>
          </w:tcPr>
          <w:p w14:paraId="5FF92EAD"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 xml:space="preserve">Business Case Management Services </w:t>
            </w:r>
          </w:p>
        </w:tc>
      </w:tr>
      <w:tr w:rsidR="00570EFC" w14:paraId="7352187C" w14:textId="77777777" w:rsidTr="00570EFC">
        <w:trPr>
          <w:trHeight w:val="364"/>
        </w:trPr>
        <w:tc>
          <w:tcPr>
            <w:cnfStyle w:val="001000000000" w:firstRow="0" w:lastRow="0" w:firstColumn="1" w:lastColumn="0" w:oddVBand="0" w:evenVBand="0" w:oddHBand="0" w:evenHBand="0" w:firstRowFirstColumn="0" w:firstRowLastColumn="0" w:lastRowFirstColumn="0" w:lastRowLastColumn="0"/>
            <w:tcW w:w="595" w:type="dxa"/>
            <w:hideMark/>
          </w:tcPr>
          <w:p w14:paraId="61414F4F" w14:textId="77777777" w:rsidR="00570EFC" w:rsidRPr="00026561" w:rsidRDefault="00570EFC">
            <w:pPr>
              <w:jc w:val="center"/>
              <w:rPr>
                <w:highlight w:val="yellow"/>
              </w:rPr>
            </w:pPr>
            <w:r w:rsidRPr="00026561">
              <w:rPr>
                <w:highlight w:val="yellow"/>
              </w:rPr>
              <w:t>22</w:t>
            </w:r>
          </w:p>
        </w:tc>
        <w:tc>
          <w:tcPr>
            <w:tcW w:w="4203" w:type="dxa"/>
            <w:hideMark/>
          </w:tcPr>
          <w:p w14:paraId="218C77EC"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Assurance</w:t>
            </w:r>
          </w:p>
        </w:tc>
        <w:tc>
          <w:tcPr>
            <w:tcW w:w="5396" w:type="dxa"/>
            <w:hideMark/>
          </w:tcPr>
          <w:p w14:paraId="24E153A1"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 xml:space="preserve">Business Case Management Services </w:t>
            </w:r>
          </w:p>
        </w:tc>
      </w:tr>
      <w:tr w:rsidR="00570EFC" w14:paraId="78270ABB" w14:textId="77777777" w:rsidTr="00570EFC">
        <w:trPr>
          <w:trHeight w:val="364"/>
        </w:trPr>
        <w:tc>
          <w:tcPr>
            <w:cnfStyle w:val="001000000000" w:firstRow="0" w:lastRow="0" w:firstColumn="1" w:lastColumn="0" w:oddVBand="0" w:evenVBand="0" w:oddHBand="0" w:evenHBand="0" w:firstRowFirstColumn="0" w:firstRowLastColumn="0" w:lastRowFirstColumn="0" w:lastRowLastColumn="0"/>
            <w:tcW w:w="595" w:type="dxa"/>
            <w:hideMark/>
          </w:tcPr>
          <w:p w14:paraId="2F823473" w14:textId="77777777" w:rsidR="00570EFC" w:rsidRPr="00026561" w:rsidRDefault="00570EFC">
            <w:pPr>
              <w:jc w:val="center"/>
              <w:rPr>
                <w:highlight w:val="yellow"/>
              </w:rPr>
            </w:pPr>
            <w:r w:rsidRPr="00026561">
              <w:rPr>
                <w:highlight w:val="yellow"/>
              </w:rPr>
              <w:t>23</w:t>
            </w:r>
          </w:p>
        </w:tc>
        <w:tc>
          <w:tcPr>
            <w:tcW w:w="4203" w:type="dxa"/>
            <w:hideMark/>
          </w:tcPr>
          <w:p w14:paraId="3122ECBB"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Implementation</w:t>
            </w:r>
          </w:p>
        </w:tc>
        <w:tc>
          <w:tcPr>
            <w:tcW w:w="5396" w:type="dxa"/>
            <w:hideMark/>
          </w:tcPr>
          <w:p w14:paraId="23E08A51"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 xml:space="preserve">Business Case Management Services </w:t>
            </w:r>
          </w:p>
        </w:tc>
      </w:tr>
      <w:tr w:rsidR="00570EFC" w14:paraId="4832AE1C" w14:textId="77777777" w:rsidTr="00570EFC">
        <w:trPr>
          <w:trHeight w:val="364"/>
        </w:trPr>
        <w:tc>
          <w:tcPr>
            <w:cnfStyle w:val="001000000000" w:firstRow="0" w:lastRow="0" w:firstColumn="1" w:lastColumn="0" w:oddVBand="0" w:evenVBand="0" w:oddHBand="0" w:evenHBand="0" w:firstRowFirstColumn="0" w:firstRowLastColumn="0" w:lastRowFirstColumn="0" w:lastRowLastColumn="0"/>
            <w:tcW w:w="595" w:type="dxa"/>
            <w:hideMark/>
          </w:tcPr>
          <w:p w14:paraId="0CD3A8D0" w14:textId="77777777" w:rsidR="00570EFC" w:rsidRPr="00026561" w:rsidRDefault="00570EFC">
            <w:pPr>
              <w:jc w:val="center"/>
              <w:rPr>
                <w:highlight w:val="yellow"/>
              </w:rPr>
            </w:pPr>
            <w:r w:rsidRPr="00026561">
              <w:rPr>
                <w:highlight w:val="yellow"/>
              </w:rPr>
              <w:t>24</w:t>
            </w:r>
          </w:p>
        </w:tc>
        <w:tc>
          <w:tcPr>
            <w:tcW w:w="4203" w:type="dxa"/>
            <w:hideMark/>
          </w:tcPr>
          <w:p w14:paraId="2EFFF739"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Recommendations</w:t>
            </w:r>
          </w:p>
        </w:tc>
        <w:tc>
          <w:tcPr>
            <w:tcW w:w="5396" w:type="dxa"/>
            <w:hideMark/>
          </w:tcPr>
          <w:p w14:paraId="2CBC205F" w14:textId="77777777" w:rsidR="00570EFC" w:rsidRDefault="00570EFC">
            <w:pPr>
              <w:ind w:left="109"/>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 xml:space="preserve">Business Case Management Services </w:t>
            </w:r>
          </w:p>
        </w:tc>
      </w:tr>
      <w:tr w:rsidR="00570EFC" w14:paraId="083CD997" w14:textId="77777777" w:rsidTr="00570EFC">
        <w:trPr>
          <w:cnfStyle w:val="010000000000" w:firstRow="0" w:lastRow="1"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95" w:type="dxa"/>
            <w:hideMark/>
          </w:tcPr>
          <w:p w14:paraId="5B4E3A97" w14:textId="77777777" w:rsidR="00570EFC" w:rsidRPr="00026561" w:rsidRDefault="00570EFC">
            <w:pPr>
              <w:jc w:val="center"/>
              <w:rPr>
                <w:highlight w:val="yellow"/>
              </w:rPr>
            </w:pPr>
            <w:r w:rsidRPr="00026561">
              <w:rPr>
                <w:highlight w:val="yellow"/>
              </w:rPr>
              <w:t>25</w:t>
            </w:r>
          </w:p>
        </w:tc>
        <w:tc>
          <w:tcPr>
            <w:tcW w:w="4203" w:type="dxa"/>
            <w:hideMark/>
          </w:tcPr>
          <w:p w14:paraId="632AAB90" w14:textId="77777777" w:rsidR="00570EFC" w:rsidRDefault="00570EFC">
            <w:pPr>
              <w:ind w:left="109"/>
              <w:cnfStyle w:val="010000000000" w:firstRow="0" w:lastRow="1" w:firstColumn="0" w:lastColumn="0" w:oddVBand="0" w:evenVBand="0" w:oddHBand="0" w:evenHBand="0" w:firstRowFirstColumn="0" w:firstRowLastColumn="0" w:lastRowFirstColumn="0" w:lastRowLastColumn="0"/>
              <w:rPr>
                <w:highlight w:val="yellow"/>
              </w:rPr>
            </w:pPr>
            <w:r>
              <w:rPr>
                <w:highlight w:val="yellow"/>
              </w:rPr>
              <w:t>References</w:t>
            </w:r>
          </w:p>
        </w:tc>
        <w:tc>
          <w:tcPr>
            <w:tcW w:w="5396" w:type="dxa"/>
            <w:hideMark/>
          </w:tcPr>
          <w:p w14:paraId="7704A50D" w14:textId="77777777" w:rsidR="00570EFC" w:rsidRDefault="00570EFC">
            <w:pPr>
              <w:ind w:left="109"/>
              <w:cnfStyle w:val="010000000000" w:firstRow="0" w:lastRow="1" w:firstColumn="0" w:lastColumn="0" w:oddVBand="0" w:evenVBand="0" w:oddHBand="0" w:evenHBand="0" w:firstRowFirstColumn="0" w:firstRowLastColumn="0" w:lastRowFirstColumn="0" w:lastRowLastColumn="0"/>
              <w:rPr>
                <w:highlight w:val="yellow"/>
              </w:rPr>
            </w:pPr>
            <w:r>
              <w:rPr>
                <w:highlight w:val="yellow"/>
              </w:rPr>
              <w:t xml:space="preserve">Business Case Management Services </w:t>
            </w:r>
          </w:p>
        </w:tc>
      </w:tr>
    </w:tbl>
    <w:p w14:paraId="4132D2D2" w14:textId="29063A04" w:rsidR="000C29CC" w:rsidRDefault="000C29CC" w:rsidP="006E639F">
      <w:pPr>
        <w:pStyle w:val="Heading2"/>
        <w:numPr>
          <w:ilvl w:val="1"/>
          <w:numId w:val="42"/>
        </w:numPr>
        <w:rPr>
          <w:lang w:val="en-GB"/>
        </w:rPr>
      </w:pPr>
      <w:r>
        <w:rPr>
          <w:lang w:val="en-GB"/>
        </w:rPr>
        <w:t>&lt;&lt;Style Manual&gt;&gt;</w:t>
      </w:r>
    </w:p>
    <w:p w14:paraId="788DAEF6" w14:textId="77777777" w:rsidR="00B2314B" w:rsidRDefault="00B2314B" w:rsidP="00B2314B">
      <w:r>
        <w:t xml:space="preserve">The Advisor must ensure that any business case chapters, are written in accordance with the </w:t>
      </w:r>
      <w:r>
        <w:rPr>
          <w:highlight w:val="yellow"/>
        </w:rPr>
        <w:t>&lt;&lt;Agency Name Style Manual&gt;&gt;</w:t>
      </w:r>
      <w:r>
        <w:t xml:space="preserve"> (to be provided upon contract award).</w:t>
      </w:r>
    </w:p>
    <w:p w14:paraId="689FCBB1" w14:textId="0451BF02" w:rsidR="003C632B" w:rsidRPr="003C632B" w:rsidRDefault="00B2314B" w:rsidP="006E639F">
      <w:pPr>
        <w:pStyle w:val="Heading1"/>
        <w:numPr>
          <w:ilvl w:val="0"/>
          <w:numId w:val="42"/>
        </w:numPr>
      </w:pPr>
      <w:r>
        <w:t>Out of Scope</w:t>
      </w:r>
    </w:p>
    <w:p w14:paraId="45E3675B" w14:textId="77777777" w:rsidR="003267DF" w:rsidRDefault="003267DF" w:rsidP="003267DF">
      <w:pPr>
        <w:rPr>
          <w:rFonts w:ascii="Arial" w:eastAsia="Arial" w:hAnsi="Arial" w:cs="Arial"/>
          <w:szCs w:val="20"/>
        </w:rPr>
      </w:pPr>
      <w:r>
        <w:rPr>
          <w:rFonts w:eastAsia="Arial" w:cs="Arial"/>
          <w:szCs w:val="20"/>
          <w:highlight w:val="cyan"/>
        </w:rPr>
        <w:t>[Delete this section if not applicable: High level summary only]</w:t>
      </w:r>
      <w:r>
        <w:rPr>
          <w:rFonts w:eastAsia="Arial" w:cs="Arial"/>
          <w:szCs w:val="20"/>
        </w:rPr>
        <w:t xml:space="preserve"> </w:t>
      </w:r>
    </w:p>
    <w:p w14:paraId="4000F28A" w14:textId="77777777" w:rsidR="003267DF" w:rsidRDefault="003267DF" w:rsidP="003267DF">
      <w:pPr>
        <w:rPr>
          <w:rFonts w:eastAsia="Arial" w:cs="Arial"/>
          <w:szCs w:val="20"/>
        </w:rPr>
      </w:pPr>
      <w:r>
        <w:rPr>
          <w:rFonts w:eastAsia="Arial" w:cs="Arial"/>
          <w:szCs w:val="20"/>
        </w:rPr>
        <w:t>The following work has been completed or is soon to be completed and is excluded from the scope of work for this engagement, subject to any qualifications noted in the key activities and deliverables above:</w:t>
      </w:r>
    </w:p>
    <w:p w14:paraId="42AF1C6E" w14:textId="77777777" w:rsidR="0054089B" w:rsidRPr="00BE3E40" w:rsidRDefault="0054089B" w:rsidP="0054089B">
      <w:pPr>
        <w:numPr>
          <w:ilvl w:val="0"/>
          <w:numId w:val="40"/>
        </w:numPr>
        <w:rPr>
          <w:rFonts w:eastAsia="Arial" w:cs="Arial"/>
          <w:szCs w:val="20"/>
        </w:rPr>
      </w:pPr>
      <w:r w:rsidRPr="00BE3E40">
        <w:rPr>
          <w:rFonts w:eastAsia="Arial" w:cs="Arial"/>
          <w:szCs w:val="20"/>
          <w:highlight w:val="yellow"/>
        </w:rPr>
        <w:t>XXXX</w:t>
      </w:r>
    </w:p>
    <w:p w14:paraId="52E289BE" w14:textId="77777777" w:rsidR="0054089B" w:rsidRPr="00BE3E40" w:rsidRDefault="0054089B" w:rsidP="0054089B">
      <w:pPr>
        <w:numPr>
          <w:ilvl w:val="0"/>
          <w:numId w:val="40"/>
        </w:numPr>
        <w:rPr>
          <w:rFonts w:eastAsia="Arial" w:cs="Arial"/>
          <w:szCs w:val="20"/>
        </w:rPr>
      </w:pPr>
      <w:r w:rsidRPr="00BE3E40">
        <w:rPr>
          <w:rFonts w:eastAsia="Arial" w:cs="Arial"/>
          <w:szCs w:val="20"/>
          <w:highlight w:val="yellow"/>
        </w:rPr>
        <w:t>XXXX</w:t>
      </w:r>
    </w:p>
    <w:p w14:paraId="05B66E38" w14:textId="02CA14FD" w:rsidR="0054089B" w:rsidRPr="00BE3E40" w:rsidRDefault="0054089B" w:rsidP="003267DF">
      <w:pPr>
        <w:numPr>
          <w:ilvl w:val="0"/>
          <w:numId w:val="40"/>
        </w:numPr>
        <w:rPr>
          <w:rFonts w:eastAsia="Arial" w:cs="Arial"/>
          <w:szCs w:val="20"/>
        </w:rPr>
      </w:pPr>
      <w:r w:rsidRPr="00BE3E40">
        <w:rPr>
          <w:rFonts w:eastAsia="Arial" w:cs="Arial"/>
          <w:szCs w:val="20"/>
          <w:highlight w:val="yellow"/>
        </w:rPr>
        <w:t>XXXX</w:t>
      </w:r>
    </w:p>
    <w:p w14:paraId="2DEF914B" w14:textId="61CCEAD1" w:rsidR="003C632B" w:rsidRPr="003C632B" w:rsidRDefault="003C632B" w:rsidP="00DC58D5">
      <w:pPr>
        <w:pStyle w:val="Heading1"/>
        <w:keepNext/>
        <w:widowControl/>
        <w:numPr>
          <w:ilvl w:val="0"/>
          <w:numId w:val="42"/>
        </w:numPr>
      </w:pPr>
      <w:r w:rsidRPr="003C632B">
        <w:t xml:space="preserve">Reporting </w:t>
      </w:r>
      <w:r w:rsidR="00026561">
        <w:t>r</w:t>
      </w:r>
      <w:r w:rsidRPr="003C632B">
        <w:t xml:space="preserve">equirements </w:t>
      </w:r>
    </w:p>
    <w:p w14:paraId="2AE7E387" w14:textId="77777777" w:rsidR="00B8417F" w:rsidRPr="00B8417F" w:rsidRDefault="00B8417F" w:rsidP="00DC58D5">
      <w:pPr>
        <w:pStyle w:val="BodyText"/>
        <w:keepNext/>
        <w:rPr>
          <w:rFonts w:ascii="Noto Sans" w:hAnsi="Noto Sans" w:cs="Noto Sans"/>
          <w:color w:val="auto"/>
          <w:lang w:eastAsia="en-AU"/>
        </w:rPr>
      </w:pPr>
      <w:r w:rsidRPr="00B8417F">
        <w:rPr>
          <w:rFonts w:ascii="Noto Sans" w:hAnsi="Noto Sans" w:cs="Noto Sans"/>
          <w:color w:val="auto"/>
          <w:lang w:eastAsia="en-AU"/>
        </w:rPr>
        <w:t>The successful Advisor will report directly to a nominated contact (confirmed on contract award) for the business case and will work under the direction of the Business Case Director or their delegate, as required.</w:t>
      </w:r>
    </w:p>
    <w:p w14:paraId="1D1069F1" w14:textId="77777777" w:rsidR="00B8417F" w:rsidRPr="00B8417F" w:rsidRDefault="00B8417F" w:rsidP="00DC58D5">
      <w:pPr>
        <w:pStyle w:val="BodyText"/>
        <w:keepNext/>
        <w:rPr>
          <w:rFonts w:ascii="Noto Sans" w:hAnsi="Noto Sans" w:cs="Noto Sans"/>
          <w:color w:val="auto"/>
          <w:lang w:eastAsia="en-AU"/>
        </w:rPr>
      </w:pPr>
      <w:r w:rsidRPr="00B8417F">
        <w:rPr>
          <w:rFonts w:ascii="Noto Sans" w:hAnsi="Noto Sans" w:cs="Noto Sans"/>
          <w:color w:val="auto"/>
          <w:lang w:eastAsia="en-AU"/>
        </w:rPr>
        <w:t>Decisions, including the scope, make-up of analytical components, and their proposed evaluation is to be formally documented and mutually agreed to with the nominated contact, and formally communicated, preferably through electronic mail.</w:t>
      </w:r>
    </w:p>
    <w:p w14:paraId="19BD095C" w14:textId="77777777" w:rsidR="00B8417F" w:rsidRPr="00B8417F" w:rsidRDefault="00B8417F" w:rsidP="00DC58D5">
      <w:pPr>
        <w:keepNext/>
        <w:rPr>
          <w:rFonts w:cs="Noto Sans"/>
        </w:rPr>
      </w:pPr>
      <w:r w:rsidRPr="00B8417F">
        <w:rPr>
          <w:rFonts w:cs="Noto Sans"/>
        </w:rPr>
        <w:t>The following reporting requirements are mandatory:</w:t>
      </w:r>
    </w:p>
    <w:p w14:paraId="041CDADA" w14:textId="77777777" w:rsidR="00B8417F" w:rsidRPr="00B8417F" w:rsidRDefault="00B8417F" w:rsidP="00DC58D5">
      <w:pPr>
        <w:pStyle w:val="ListParagraph"/>
        <w:keepNext/>
        <w:numPr>
          <w:ilvl w:val="0"/>
          <w:numId w:val="39"/>
        </w:numPr>
        <w:spacing w:before="120"/>
        <w:rPr>
          <w:rFonts w:cs="Noto Sans"/>
        </w:rPr>
      </w:pPr>
      <w:r w:rsidRPr="00B8417F">
        <w:rPr>
          <w:rFonts w:cs="Noto Sans"/>
        </w:rPr>
        <w:t xml:space="preserve">Participation in project status meetings </w:t>
      </w:r>
    </w:p>
    <w:p w14:paraId="62049B29" w14:textId="77777777" w:rsidR="00B8417F" w:rsidRPr="00B8417F" w:rsidRDefault="00B8417F" w:rsidP="00DC58D5">
      <w:pPr>
        <w:pStyle w:val="ListParagraph"/>
        <w:keepNext/>
        <w:numPr>
          <w:ilvl w:val="0"/>
          <w:numId w:val="39"/>
        </w:numPr>
        <w:spacing w:before="120"/>
        <w:rPr>
          <w:rFonts w:cs="Noto Sans"/>
        </w:rPr>
      </w:pPr>
      <w:r w:rsidRPr="00B8417F">
        <w:rPr>
          <w:rFonts w:cs="Noto Sans"/>
        </w:rPr>
        <w:t xml:space="preserve">Facilitation of legal and regulatory briefings to the Project Director </w:t>
      </w:r>
    </w:p>
    <w:p w14:paraId="65C1560C" w14:textId="77777777" w:rsidR="00B8417F" w:rsidRDefault="00B8417F" w:rsidP="00DC58D5">
      <w:pPr>
        <w:pStyle w:val="ListParagraph"/>
        <w:keepNext/>
        <w:numPr>
          <w:ilvl w:val="0"/>
          <w:numId w:val="39"/>
        </w:numPr>
        <w:spacing w:before="120"/>
        <w:rPr>
          <w:rFonts w:cs="Noto Sans"/>
        </w:rPr>
      </w:pPr>
      <w:r w:rsidRPr="00B8417F">
        <w:rPr>
          <w:rFonts w:cs="Noto Sans"/>
        </w:rPr>
        <w:t xml:space="preserve">Input to the Monthly Project Milestone Reports prepared by the Project Manager. </w:t>
      </w:r>
    </w:p>
    <w:p w14:paraId="0E3C2893" w14:textId="77777777" w:rsidR="003C632B" w:rsidRPr="003C632B" w:rsidRDefault="003C632B" w:rsidP="004607DD">
      <w:pPr>
        <w:pStyle w:val="Heading1"/>
        <w:keepNext/>
        <w:widowControl/>
        <w:numPr>
          <w:ilvl w:val="0"/>
          <w:numId w:val="42"/>
        </w:numPr>
      </w:pPr>
      <w:r w:rsidRPr="003C632B">
        <w:t xml:space="preserve">Timeframes </w:t>
      </w:r>
    </w:p>
    <w:p w14:paraId="5C6E6AD8" w14:textId="77777777" w:rsidR="00DC7BE5" w:rsidRPr="00DC7BE5" w:rsidRDefault="003C632B" w:rsidP="004607DD">
      <w:pPr>
        <w:keepNext/>
        <w:spacing w:before="120"/>
        <w:rPr>
          <w:rFonts w:eastAsia="Arial" w:cs="Noto Sans"/>
          <w:szCs w:val="18"/>
          <w:highlight w:val="cyan"/>
        </w:rPr>
      </w:pPr>
      <w:r w:rsidRPr="003C632B">
        <w:rPr>
          <w:rFonts w:eastAsia="Arial" w:cs="Noto Sans"/>
          <w:szCs w:val="18"/>
          <w:highlight w:val="cyan"/>
        </w:rPr>
        <w:t>[</w:t>
      </w:r>
      <w:bookmarkStart w:id="4" w:name="_Ref76390040"/>
      <w:r w:rsidR="00DC7BE5" w:rsidRPr="00DC7BE5">
        <w:rPr>
          <w:rFonts w:eastAsia="Arial" w:cs="Noto Sans"/>
          <w:szCs w:val="18"/>
          <w:highlight w:val="cyan"/>
        </w:rPr>
        <w:t>Drafting note: Consideration needs to be given to the high-level timeframe requirements for your business case that would assist suppliers in understanding how to resource this role. Below are suggested milestones and you must update this list of milestones to be fit-for-purpose and aligned to your own business case program– as a minimum the “phase” end dates are required. Provide enough information to help with a response but don’t be overly prescriptive. If no date is known use months, however greater clarity will help respondents.]</w:t>
      </w:r>
    </w:p>
    <w:p w14:paraId="1305C88C" w14:textId="77777777" w:rsidR="00DC7BE5" w:rsidRPr="00DC7BE5" w:rsidRDefault="00DC7BE5" w:rsidP="004607DD">
      <w:pPr>
        <w:keepNext/>
        <w:spacing w:before="120"/>
        <w:rPr>
          <w:rFonts w:eastAsia="Arial" w:cs="Noto Sans"/>
          <w:szCs w:val="18"/>
          <w:highlight w:val="cyan"/>
        </w:rPr>
      </w:pPr>
      <w:r w:rsidRPr="00DC7BE5">
        <w:rPr>
          <w:rFonts w:eastAsia="Arial" w:cs="Noto Sans"/>
          <w:szCs w:val="18"/>
        </w:rPr>
        <w:t>Table 5 outlines the key milestones currently anticipated for the development of the detailed business case</w:t>
      </w:r>
      <w:r w:rsidRPr="00F21C1B">
        <w:rPr>
          <w:rFonts w:eastAsia="Arial" w:cs="Noto Sans"/>
          <w:szCs w:val="18"/>
        </w:rPr>
        <w:t>.</w:t>
      </w:r>
    </w:p>
    <w:p w14:paraId="43D5CE4C" w14:textId="0B71ADD5" w:rsidR="003C632B" w:rsidRPr="003C632B" w:rsidRDefault="003C632B" w:rsidP="004607DD">
      <w:pPr>
        <w:keepNext/>
        <w:spacing w:before="120"/>
        <w:rPr>
          <w:rFonts w:eastAsia="Arial" w:cs="Noto Sans"/>
          <w:b/>
          <w:bCs/>
          <w:szCs w:val="18"/>
        </w:rPr>
      </w:pPr>
      <w:r w:rsidRPr="003C632B">
        <w:rPr>
          <w:rFonts w:eastAsia="Arial" w:cs="Noto Sans"/>
          <w:b/>
          <w:bCs/>
          <w:szCs w:val="18"/>
        </w:rPr>
        <w:t xml:space="preserve">Table </w:t>
      </w:r>
      <w:bookmarkEnd w:id="4"/>
      <w:r w:rsidR="00DC7BE5">
        <w:rPr>
          <w:rFonts w:eastAsia="Arial" w:cs="Noto Sans"/>
          <w:b/>
          <w:bCs/>
          <w:szCs w:val="18"/>
        </w:rPr>
        <w:t>5</w:t>
      </w:r>
      <w:r w:rsidRPr="003C632B">
        <w:rPr>
          <w:rFonts w:eastAsia="Arial" w:cs="Noto Sans"/>
          <w:b/>
          <w:bCs/>
          <w:szCs w:val="18"/>
        </w:rPr>
        <w:t xml:space="preserve">: Business Case </w:t>
      </w:r>
      <w:r w:rsidR="00026561">
        <w:rPr>
          <w:rFonts w:eastAsia="Arial" w:cs="Noto Sans"/>
          <w:b/>
          <w:bCs/>
          <w:szCs w:val="18"/>
        </w:rPr>
        <w:t>d</w:t>
      </w:r>
      <w:r w:rsidRPr="003C632B">
        <w:rPr>
          <w:rFonts w:eastAsia="Arial" w:cs="Noto Sans"/>
          <w:b/>
          <w:bCs/>
          <w:szCs w:val="18"/>
        </w:rPr>
        <w:t xml:space="preserve">evelopment </w:t>
      </w:r>
      <w:r w:rsidR="00026561">
        <w:rPr>
          <w:rFonts w:eastAsia="Arial" w:cs="Noto Sans"/>
          <w:b/>
          <w:bCs/>
          <w:szCs w:val="18"/>
        </w:rPr>
        <w:t>t</w:t>
      </w:r>
      <w:r w:rsidRPr="003C632B">
        <w:rPr>
          <w:rFonts w:eastAsia="Arial" w:cs="Noto Sans"/>
          <w:b/>
          <w:bCs/>
          <w:szCs w:val="18"/>
        </w:rPr>
        <w:t>imeframes</w:t>
      </w:r>
    </w:p>
    <w:tbl>
      <w:tblPr>
        <w:tblStyle w:val="Table-QldBlue"/>
        <w:tblW w:w="5000" w:type="pct"/>
        <w:tblLayout w:type="fixed"/>
        <w:tblLook w:val="0620" w:firstRow="1" w:lastRow="0" w:firstColumn="0" w:lastColumn="0" w:noHBand="1" w:noVBand="1"/>
      </w:tblPr>
      <w:tblGrid>
        <w:gridCol w:w="6110"/>
        <w:gridCol w:w="4370"/>
      </w:tblGrid>
      <w:tr w:rsidR="0077113E" w:rsidRPr="003C632B" w14:paraId="7B0B9D43" w14:textId="77777777" w:rsidTr="0077113E">
        <w:trPr>
          <w:cnfStyle w:val="100000000000" w:firstRow="1" w:lastRow="0" w:firstColumn="0" w:lastColumn="0" w:oddVBand="0" w:evenVBand="0" w:oddHBand="0" w:evenHBand="0" w:firstRowFirstColumn="0" w:firstRowLastColumn="0" w:lastRowFirstColumn="0" w:lastRowLastColumn="0"/>
        </w:trPr>
        <w:tc>
          <w:tcPr>
            <w:tcW w:w="6110" w:type="dxa"/>
          </w:tcPr>
          <w:p w14:paraId="5A83226A" w14:textId="391E8C22" w:rsidR="0077113E" w:rsidRPr="003C632B" w:rsidRDefault="0077113E" w:rsidP="003C632B">
            <w:pPr>
              <w:spacing w:before="60" w:after="60"/>
              <w:rPr>
                <w:rFonts w:eastAsia="Arial" w:cs="Noto Sans"/>
                <w:szCs w:val="18"/>
              </w:rPr>
            </w:pPr>
            <w:r>
              <w:rPr>
                <w:rFonts w:eastAsia="Arial" w:cs="Noto Sans"/>
                <w:szCs w:val="18"/>
              </w:rPr>
              <w:t>Activity/Phase</w:t>
            </w:r>
          </w:p>
        </w:tc>
        <w:tc>
          <w:tcPr>
            <w:tcW w:w="4370" w:type="dxa"/>
          </w:tcPr>
          <w:p w14:paraId="73CC2DF2" w14:textId="17AB28E5" w:rsidR="0077113E" w:rsidRPr="003C632B" w:rsidRDefault="0077113E" w:rsidP="003C632B">
            <w:pPr>
              <w:spacing w:before="60" w:after="60"/>
              <w:rPr>
                <w:rFonts w:eastAsia="Arial" w:cs="Noto Sans"/>
                <w:szCs w:val="18"/>
              </w:rPr>
            </w:pPr>
            <w:r>
              <w:rPr>
                <w:rFonts w:eastAsia="Arial" w:cs="Noto Sans"/>
                <w:szCs w:val="18"/>
              </w:rPr>
              <w:t xml:space="preserve">Anticipated </w:t>
            </w:r>
            <w:r w:rsidR="00026561">
              <w:rPr>
                <w:rFonts w:eastAsia="Arial" w:cs="Noto Sans"/>
                <w:szCs w:val="18"/>
              </w:rPr>
              <w:t>t</w:t>
            </w:r>
            <w:r>
              <w:rPr>
                <w:rFonts w:eastAsia="Arial" w:cs="Noto Sans"/>
                <w:szCs w:val="18"/>
              </w:rPr>
              <w:t>iming</w:t>
            </w:r>
          </w:p>
        </w:tc>
      </w:tr>
      <w:tr w:rsidR="003C632B" w:rsidRPr="003C632B" w14:paraId="2524F049" w14:textId="77777777" w:rsidTr="00F21C1B">
        <w:tc>
          <w:tcPr>
            <w:tcW w:w="6110" w:type="dxa"/>
            <w:shd w:val="clear" w:color="auto" w:fill="E7E6E6" w:themeFill="background2"/>
            <w:hideMark/>
          </w:tcPr>
          <w:p w14:paraId="05791541" w14:textId="77777777" w:rsidR="003C632B" w:rsidRPr="00F21C1B" w:rsidRDefault="003C632B" w:rsidP="003C632B">
            <w:pPr>
              <w:spacing w:before="60" w:after="60"/>
              <w:rPr>
                <w:rFonts w:eastAsia="Arial" w:cs="Noto Sans"/>
                <w:b/>
                <w:bCs/>
                <w:szCs w:val="18"/>
              </w:rPr>
            </w:pPr>
            <w:r w:rsidRPr="00F21C1B">
              <w:rPr>
                <w:rFonts w:eastAsia="Arial" w:cs="Noto Sans"/>
                <w:b/>
                <w:bCs/>
                <w:szCs w:val="18"/>
              </w:rPr>
              <w:t>Initiation complete</w:t>
            </w:r>
          </w:p>
        </w:tc>
        <w:tc>
          <w:tcPr>
            <w:tcW w:w="4370" w:type="dxa"/>
          </w:tcPr>
          <w:p w14:paraId="11312353" w14:textId="77777777" w:rsidR="003C632B" w:rsidRPr="003C632B" w:rsidRDefault="003C632B" w:rsidP="003C632B">
            <w:pPr>
              <w:spacing w:before="60" w:after="60"/>
              <w:rPr>
                <w:rFonts w:eastAsia="Arial" w:cs="Noto Sans"/>
                <w:szCs w:val="18"/>
              </w:rPr>
            </w:pPr>
          </w:p>
        </w:tc>
      </w:tr>
      <w:tr w:rsidR="003C632B" w:rsidRPr="003C632B" w14:paraId="528CD358" w14:textId="77777777" w:rsidTr="00F21C1B">
        <w:tc>
          <w:tcPr>
            <w:tcW w:w="6110" w:type="dxa"/>
            <w:shd w:val="clear" w:color="auto" w:fill="E7E6E6" w:themeFill="background2"/>
            <w:hideMark/>
          </w:tcPr>
          <w:p w14:paraId="1522DECA" w14:textId="77777777" w:rsidR="003C632B" w:rsidRPr="00F21C1B" w:rsidRDefault="003C632B" w:rsidP="003C632B">
            <w:pPr>
              <w:spacing w:before="60" w:after="60"/>
              <w:rPr>
                <w:rFonts w:eastAsia="Arial" w:cs="Noto Sans"/>
                <w:b/>
                <w:bCs/>
                <w:szCs w:val="18"/>
                <w:highlight w:val="yellow"/>
              </w:rPr>
            </w:pPr>
            <w:r w:rsidRPr="00F21C1B">
              <w:rPr>
                <w:rFonts w:eastAsia="Arial" w:cs="Noto Sans"/>
                <w:b/>
                <w:bCs/>
                <w:szCs w:val="18"/>
                <w:highlight w:val="yellow"/>
              </w:rPr>
              <w:t>Milestone 1</w:t>
            </w:r>
          </w:p>
        </w:tc>
        <w:tc>
          <w:tcPr>
            <w:tcW w:w="4370" w:type="dxa"/>
          </w:tcPr>
          <w:p w14:paraId="75C99CAF" w14:textId="77777777" w:rsidR="003C632B" w:rsidRPr="003C632B" w:rsidRDefault="003C632B" w:rsidP="003C632B">
            <w:pPr>
              <w:spacing w:before="60" w:after="60"/>
              <w:rPr>
                <w:rFonts w:eastAsia="Arial" w:cs="Noto Sans"/>
                <w:szCs w:val="18"/>
              </w:rPr>
            </w:pPr>
          </w:p>
        </w:tc>
      </w:tr>
      <w:tr w:rsidR="003C632B" w:rsidRPr="003C632B" w14:paraId="00678880" w14:textId="77777777" w:rsidTr="00F21C1B">
        <w:tc>
          <w:tcPr>
            <w:tcW w:w="6110" w:type="dxa"/>
            <w:shd w:val="clear" w:color="auto" w:fill="E7E6E6" w:themeFill="background2"/>
            <w:hideMark/>
          </w:tcPr>
          <w:p w14:paraId="7F94B4DA" w14:textId="77777777" w:rsidR="003C632B" w:rsidRPr="00F21C1B" w:rsidRDefault="003C632B" w:rsidP="003C632B">
            <w:pPr>
              <w:spacing w:before="60" w:after="60"/>
              <w:rPr>
                <w:rFonts w:eastAsia="Arial" w:cs="Noto Sans"/>
                <w:b/>
                <w:bCs/>
                <w:szCs w:val="18"/>
                <w:highlight w:val="yellow"/>
              </w:rPr>
            </w:pPr>
            <w:r w:rsidRPr="00F21C1B">
              <w:rPr>
                <w:rFonts w:eastAsia="Arial" w:cs="Noto Sans"/>
                <w:b/>
                <w:bCs/>
                <w:szCs w:val="18"/>
                <w:highlight w:val="yellow"/>
              </w:rPr>
              <w:t>Milestone 2</w:t>
            </w:r>
          </w:p>
        </w:tc>
        <w:tc>
          <w:tcPr>
            <w:tcW w:w="4370" w:type="dxa"/>
          </w:tcPr>
          <w:p w14:paraId="06EAFFE4" w14:textId="77777777" w:rsidR="003C632B" w:rsidRPr="003C632B" w:rsidRDefault="003C632B" w:rsidP="003C632B">
            <w:pPr>
              <w:spacing w:before="60" w:after="60"/>
              <w:rPr>
                <w:rFonts w:eastAsia="Arial" w:cs="Noto Sans"/>
                <w:szCs w:val="18"/>
              </w:rPr>
            </w:pPr>
          </w:p>
        </w:tc>
      </w:tr>
      <w:tr w:rsidR="003C632B" w:rsidRPr="003C632B" w14:paraId="2D1FD3FA" w14:textId="77777777" w:rsidTr="00F21C1B">
        <w:tc>
          <w:tcPr>
            <w:tcW w:w="6110" w:type="dxa"/>
            <w:shd w:val="clear" w:color="auto" w:fill="E7E6E6" w:themeFill="background2"/>
            <w:hideMark/>
          </w:tcPr>
          <w:p w14:paraId="1EEC5298" w14:textId="77777777" w:rsidR="003C632B" w:rsidRPr="00F21C1B" w:rsidRDefault="003C632B" w:rsidP="003C632B">
            <w:pPr>
              <w:spacing w:before="60" w:after="60"/>
              <w:rPr>
                <w:rFonts w:eastAsia="Arial" w:cs="Noto Sans"/>
                <w:b/>
                <w:bCs/>
                <w:szCs w:val="18"/>
              </w:rPr>
            </w:pPr>
            <w:r w:rsidRPr="00F21C1B">
              <w:rPr>
                <w:rFonts w:eastAsia="Arial" w:cs="Noto Sans"/>
                <w:b/>
                <w:bCs/>
                <w:szCs w:val="18"/>
              </w:rPr>
              <w:t>Development phase complete</w:t>
            </w:r>
          </w:p>
        </w:tc>
        <w:tc>
          <w:tcPr>
            <w:tcW w:w="4370" w:type="dxa"/>
          </w:tcPr>
          <w:p w14:paraId="6B295E9E" w14:textId="77777777" w:rsidR="003C632B" w:rsidRPr="003C632B" w:rsidRDefault="003C632B" w:rsidP="003C632B">
            <w:pPr>
              <w:spacing w:before="60" w:after="60"/>
              <w:rPr>
                <w:rFonts w:eastAsia="Arial" w:cs="Noto Sans"/>
                <w:szCs w:val="18"/>
              </w:rPr>
            </w:pPr>
          </w:p>
        </w:tc>
      </w:tr>
      <w:tr w:rsidR="003C632B" w:rsidRPr="003C632B" w14:paraId="45883E9F" w14:textId="77777777" w:rsidTr="00F21C1B">
        <w:tc>
          <w:tcPr>
            <w:tcW w:w="6110" w:type="dxa"/>
            <w:shd w:val="clear" w:color="auto" w:fill="E7E6E6" w:themeFill="background2"/>
            <w:hideMark/>
          </w:tcPr>
          <w:p w14:paraId="3913EBF9" w14:textId="77777777" w:rsidR="003C632B" w:rsidRPr="00F21C1B" w:rsidRDefault="003C632B" w:rsidP="003C632B">
            <w:pPr>
              <w:spacing w:before="60" w:after="60"/>
              <w:rPr>
                <w:rFonts w:eastAsia="Arial" w:cs="Noto Sans"/>
                <w:b/>
                <w:bCs/>
                <w:szCs w:val="18"/>
              </w:rPr>
            </w:pPr>
            <w:r w:rsidRPr="00F21C1B">
              <w:rPr>
                <w:rFonts w:eastAsia="Arial" w:cs="Noto Sans"/>
                <w:b/>
                <w:bCs/>
                <w:szCs w:val="18"/>
              </w:rPr>
              <w:t>Business case draft complete</w:t>
            </w:r>
          </w:p>
        </w:tc>
        <w:tc>
          <w:tcPr>
            <w:tcW w:w="4370" w:type="dxa"/>
          </w:tcPr>
          <w:p w14:paraId="4C50743E" w14:textId="77777777" w:rsidR="003C632B" w:rsidRPr="003C632B" w:rsidRDefault="003C632B" w:rsidP="003C632B">
            <w:pPr>
              <w:spacing w:before="60" w:after="60"/>
              <w:rPr>
                <w:rFonts w:eastAsia="Arial" w:cs="Noto Sans"/>
                <w:szCs w:val="18"/>
              </w:rPr>
            </w:pPr>
          </w:p>
        </w:tc>
      </w:tr>
      <w:tr w:rsidR="003C632B" w:rsidRPr="003C632B" w14:paraId="7E45930E" w14:textId="77777777" w:rsidTr="00F21C1B">
        <w:tc>
          <w:tcPr>
            <w:tcW w:w="6110" w:type="dxa"/>
            <w:shd w:val="clear" w:color="auto" w:fill="E7E6E6" w:themeFill="background2"/>
            <w:hideMark/>
          </w:tcPr>
          <w:p w14:paraId="16D73A46" w14:textId="77777777" w:rsidR="003C632B" w:rsidRPr="00F21C1B" w:rsidRDefault="003C632B" w:rsidP="003C632B">
            <w:pPr>
              <w:spacing w:before="60" w:after="60"/>
              <w:rPr>
                <w:rFonts w:eastAsia="Arial" w:cs="Noto Sans"/>
                <w:b/>
                <w:bCs/>
                <w:szCs w:val="18"/>
              </w:rPr>
            </w:pPr>
            <w:r w:rsidRPr="00F21C1B">
              <w:rPr>
                <w:rFonts w:eastAsia="Arial" w:cs="Noto Sans"/>
                <w:b/>
                <w:bCs/>
                <w:szCs w:val="18"/>
              </w:rPr>
              <w:t>Close out phase complete (Contract close)</w:t>
            </w:r>
          </w:p>
        </w:tc>
        <w:tc>
          <w:tcPr>
            <w:tcW w:w="4370" w:type="dxa"/>
          </w:tcPr>
          <w:p w14:paraId="59E3411B" w14:textId="77777777" w:rsidR="003C632B" w:rsidRPr="003C632B" w:rsidRDefault="003C632B" w:rsidP="003C632B">
            <w:pPr>
              <w:spacing w:before="60" w:after="60"/>
              <w:rPr>
                <w:rFonts w:eastAsia="Arial" w:cs="Noto Sans"/>
                <w:szCs w:val="18"/>
              </w:rPr>
            </w:pPr>
          </w:p>
        </w:tc>
      </w:tr>
    </w:tbl>
    <w:p w14:paraId="0DA06623" w14:textId="5DFBC7E9" w:rsidR="003C632B" w:rsidRPr="00973B0B" w:rsidRDefault="003C632B" w:rsidP="00973B0B">
      <w:pPr>
        <w:spacing w:after="0"/>
        <w:rPr>
          <w:rFonts w:cs="Noto Sans"/>
          <w:lang w:val="en-GB"/>
        </w:rPr>
      </w:pPr>
    </w:p>
    <w:sectPr w:rsidR="003C632B" w:rsidRPr="00973B0B" w:rsidSect="002C3A02">
      <w:headerReference w:type="default" r:id="rId13"/>
      <w:footerReference w:type="default" r:id="rId14"/>
      <w:headerReference w:type="first" r:id="rId15"/>
      <w:pgSz w:w="11906" w:h="16838" w:code="9"/>
      <w:pgMar w:top="993" w:right="707" w:bottom="88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9A925" w14:textId="77777777" w:rsidR="003D03A4" w:rsidRDefault="003D03A4" w:rsidP="00190C24">
      <w:r>
        <w:separator/>
      </w:r>
    </w:p>
  </w:endnote>
  <w:endnote w:type="continuationSeparator" w:id="0">
    <w:p w14:paraId="078EED47" w14:textId="77777777" w:rsidR="003D03A4" w:rsidRDefault="003D03A4"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3576" w14:textId="2B431835" w:rsidR="00D17E7D" w:rsidRDefault="002C3A02">
    <w:pPr>
      <w:pStyle w:val="Footer"/>
    </w:pPr>
    <w:r>
      <w:rPr>
        <w:noProof/>
      </w:rPr>
      <mc:AlternateContent>
        <mc:Choice Requires="wps">
          <w:drawing>
            <wp:anchor distT="0" distB="0" distL="114300" distR="114300" simplePos="0" relativeHeight="251658241" behindDoc="1" locked="1" layoutInCell="1" allowOverlap="1" wp14:anchorId="04A807F2" wp14:editId="3A2BBBC3">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2AFAD" id="Rectangle 2" o:spid="_x0000_s1026" style="position:absolute;margin-left:0;margin-top:774.2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58242" behindDoc="1" locked="0" layoutInCell="1" allowOverlap="1" wp14:anchorId="2D9CB407" wp14:editId="6FB3498E">
          <wp:simplePos x="0" y="0"/>
          <wp:positionH relativeFrom="column">
            <wp:posOffset>3484178</wp:posOffset>
          </wp:positionH>
          <wp:positionV relativeFrom="paragraph">
            <wp:posOffset>161235</wp:posOffset>
          </wp:positionV>
          <wp:extent cx="3097132" cy="520504"/>
          <wp:effectExtent l="0" t="0" r="0" b="0"/>
          <wp:wrapNone/>
          <wp:docPr id="472935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4BA1D0D3" w14:textId="45A021F2" w:rsidR="00D17E7D" w:rsidRDefault="00EC52A1">
    <w:pPr>
      <w:pStyle w:val="Footer"/>
    </w:pPr>
    <w:r>
      <w:rPr>
        <w:rFonts w:ascii="Noto Sans Black" w:eastAsia="MS Mincho" w:hAnsi="Noto Sans Black" w:cs="Arial"/>
        <w:b/>
        <w:noProof/>
        <w:color w:val="05325F" w:themeColor="text2"/>
        <w:sz w:val="48"/>
        <w:szCs w:val="48"/>
        <w:lang w:val="en-GB"/>
      </w:rPr>
      <mc:AlternateContent>
        <mc:Choice Requires="wps">
          <w:drawing>
            <wp:anchor distT="0" distB="0" distL="114300" distR="114300" simplePos="0" relativeHeight="251658243" behindDoc="0" locked="0" layoutInCell="1" allowOverlap="1" wp14:anchorId="79EA3316" wp14:editId="612432DE">
              <wp:simplePos x="0" y="0"/>
              <wp:positionH relativeFrom="column">
                <wp:posOffset>-49523</wp:posOffset>
              </wp:positionH>
              <wp:positionV relativeFrom="paragraph">
                <wp:posOffset>36537</wp:posOffset>
              </wp:positionV>
              <wp:extent cx="3298005" cy="441789"/>
              <wp:effectExtent l="0" t="0" r="0" b="6350"/>
              <wp:wrapNone/>
              <wp:docPr id="1421459739" name="Text Box 1"/>
              <wp:cNvGraphicFramePr/>
              <a:graphic xmlns:a="http://schemas.openxmlformats.org/drawingml/2006/main">
                <a:graphicData uri="http://schemas.microsoft.com/office/word/2010/wordprocessingShape">
                  <wps:wsp>
                    <wps:cNvSpPr txBox="1"/>
                    <wps:spPr>
                      <a:xfrm>
                        <a:off x="0" y="0"/>
                        <a:ext cx="3298005" cy="441789"/>
                      </a:xfrm>
                      <a:prstGeom prst="rect">
                        <a:avLst/>
                      </a:prstGeom>
                      <a:noFill/>
                      <a:ln w="6350">
                        <a:noFill/>
                      </a:ln>
                    </wps:spPr>
                    <wps:txbx>
                      <w:txbxContent>
                        <w:sdt>
                          <w:sdtPr>
                            <w:id w:val="1639688573"/>
                            <w:docPartObj>
                              <w:docPartGallery w:val="Page Numbers (Bottom of Page)"/>
                              <w:docPartUnique/>
                            </w:docPartObj>
                          </w:sdtPr>
                          <w:sdtEndPr>
                            <w:rPr>
                              <w:rFonts w:cs="Noto Sans"/>
                              <w:noProof/>
                              <w:color w:val="FFFFFF" w:themeColor="background1"/>
                            </w:rPr>
                          </w:sdtEndPr>
                          <w:sdtContent>
                            <w:p w14:paraId="30C97922" w14:textId="4E74D5C9" w:rsidR="00781710" w:rsidRPr="003C632B" w:rsidRDefault="00EC52A1" w:rsidP="00781710">
                              <w:pPr>
                                <w:spacing w:before="120"/>
                                <w:rPr>
                                  <w:rStyle w:val="Heading1Char"/>
                                </w:rPr>
                              </w:pPr>
                              <w:r w:rsidRPr="00765B6A">
                                <w:rPr>
                                  <w:rFonts w:cs="Noto Sans"/>
                                  <w:color w:val="FFFFFF" w:themeColor="background1"/>
                                </w:rPr>
                                <w:fldChar w:fldCharType="begin"/>
                              </w:r>
                              <w:r w:rsidRPr="00765B6A">
                                <w:rPr>
                                  <w:rFonts w:cs="Noto Sans"/>
                                  <w:color w:val="FFFFFF" w:themeColor="background1"/>
                                </w:rPr>
                                <w:instrText xml:space="preserve"> PAGE   \* MERGEFORMAT </w:instrText>
                              </w:r>
                              <w:r w:rsidRPr="00765B6A">
                                <w:rPr>
                                  <w:rFonts w:cs="Noto Sans"/>
                                  <w:color w:val="FFFFFF" w:themeColor="background1"/>
                                </w:rPr>
                                <w:fldChar w:fldCharType="separate"/>
                              </w:r>
                              <w:r w:rsidRPr="00765B6A">
                                <w:rPr>
                                  <w:rFonts w:cs="Noto Sans"/>
                                  <w:color w:val="FFFFFF" w:themeColor="background1"/>
                                </w:rPr>
                                <w:t>1</w:t>
                              </w:r>
                              <w:r w:rsidRPr="00765B6A">
                                <w:rPr>
                                  <w:rFonts w:cs="Noto Sans"/>
                                  <w:noProof/>
                                  <w:color w:val="FFFFFF" w:themeColor="background1"/>
                                </w:rPr>
                                <w:fldChar w:fldCharType="end"/>
                              </w:r>
                              <w:r w:rsidRPr="00765B6A">
                                <w:rPr>
                                  <w:rFonts w:cs="Noto Sans"/>
                                  <w:noProof/>
                                  <w:color w:val="FFFFFF" w:themeColor="background1"/>
                                </w:rPr>
                                <w:t xml:space="preserve"> </w:t>
                              </w:r>
                              <w:r w:rsidRPr="00765B6A">
                                <w:rPr>
                                  <w:rFonts w:ascii="MS Gothic" w:eastAsia="MS Gothic" w:hAnsi="MS Gothic" w:cs="MS Gothic" w:hint="eastAsia"/>
                                  <w:noProof/>
                                  <w:color w:val="FFFFFF" w:themeColor="background1"/>
                                </w:rPr>
                                <w:t>│</w:t>
                              </w:r>
                              <w:r w:rsidRPr="00765B6A">
                                <w:rPr>
                                  <w:rFonts w:cs="Noto Sans"/>
                                  <w:noProof/>
                                  <w:color w:val="FFFFFF" w:themeColor="background1"/>
                                </w:rPr>
                                <w:t xml:space="preserve"> </w:t>
                              </w:r>
                              <w:sdt>
                                <w:sdtPr>
                                  <w:rPr>
                                    <w:rStyle w:val="Heading1Char"/>
                                    <w:b w:val="0"/>
                                    <w:bCs/>
                                    <w:color w:val="FFFFFF" w:themeColor="background1"/>
                                    <w:sz w:val="20"/>
                                    <w:szCs w:val="20"/>
                                  </w:rPr>
                                  <w:alias w:val="Subject"/>
                                  <w:id w:val="-1210176031"/>
                                  <w:placeholder>
                                    <w:docPart w:val="809CC5A4463840F99A5A1666DA15777C"/>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781710">
                                    <w:rPr>
                                      <w:rStyle w:val="Heading1Char"/>
                                      <w:b w:val="0"/>
                                      <w:bCs/>
                                      <w:color w:val="FFFFFF" w:themeColor="background1"/>
                                      <w:sz w:val="20"/>
                                      <w:szCs w:val="20"/>
                                    </w:rPr>
                                    <w:t>Advisory Services – Legal</w:t>
                                  </w:r>
                                </w:sdtContent>
                              </w:sdt>
                            </w:p>
                            <w:p w14:paraId="4180BD32" w14:textId="3C38CDA4" w:rsidR="00EC52A1" w:rsidRPr="00765B6A" w:rsidRDefault="00E35FA4" w:rsidP="00EC52A1">
                              <w:pPr>
                                <w:pStyle w:val="Footer"/>
                                <w:rPr>
                                  <w:rFonts w:cs="Noto Sans"/>
                                  <w:color w:val="FFFFFF" w:themeColor="background1"/>
                                </w:rPr>
                              </w:pPr>
                            </w:p>
                          </w:sdtContent>
                        </w:sdt>
                        <w:p w14:paraId="02E70833" w14:textId="77777777" w:rsidR="00EC52A1" w:rsidRDefault="00EC52A1" w:rsidP="00EC52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A3316" id="_x0000_t202" coordsize="21600,21600" o:spt="202" path="m,l,21600r21600,l21600,xe">
              <v:stroke joinstyle="miter"/>
              <v:path gradientshapeok="t" o:connecttype="rect"/>
            </v:shapetype>
            <v:shape id="Text Box 1" o:spid="_x0000_s1026" type="#_x0000_t202" style="position:absolute;margin-left:-3.9pt;margin-top:2.9pt;width:259.7pt;height:3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" filled="f" stroked="f" strokeweight=".5pt">
              <v:textbox>
                <w:txbxContent>
                  <w:sdt>
                    <w:sdtPr>
                      <w:id w:val="1639688573"/>
                      <w:docPartObj>
                        <w:docPartGallery w:val="Page Numbers (Bottom of Page)"/>
                        <w:docPartUnique/>
                      </w:docPartObj>
                    </w:sdtPr>
                    <w:sdtEndPr>
                      <w:rPr>
                        <w:rFonts w:cs="Noto Sans"/>
                        <w:noProof/>
                        <w:color w:val="FFFFFF" w:themeColor="background1"/>
                      </w:rPr>
                    </w:sdtEndPr>
                    <w:sdtContent>
                      <w:p w14:paraId="30C97922" w14:textId="4E74D5C9" w:rsidR="00781710" w:rsidRPr="003C632B" w:rsidRDefault="00EC52A1" w:rsidP="00781710">
                        <w:pPr>
                          <w:spacing w:before="120"/>
                          <w:rPr>
                            <w:rStyle w:val="Heading1Char"/>
                          </w:rPr>
                        </w:pPr>
                        <w:r w:rsidRPr="00765B6A">
                          <w:rPr>
                            <w:rFonts w:cs="Noto Sans"/>
                            <w:color w:val="FFFFFF" w:themeColor="background1"/>
                          </w:rPr>
                          <w:fldChar w:fldCharType="begin"/>
                        </w:r>
                        <w:r w:rsidRPr="00765B6A">
                          <w:rPr>
                            <w:rFonts w:cs="Noto Sans"/>
                            <w:color w:val="FFFFFF" w:themeColor="background1"/>
                          </w:rPr>
                          <w:instrText xml:space="preserve"> PAGE   \* MERGEFORMAT </w:instrText>
                        </w:r>
                        <w:r w:rsidRPr="00765B6A">
                          <w:rPr>
                            <w:rFonts w:cs="Noto Sans"/>
                            <w:color w:val="FFFFFF" w:themeColor="background1"/>
                          </w:rPr>
                          <w:fldChar w:fldCharType="separate"/>
                        </w:r>
                        <w:r w:rsidRPr="00765B6A">
                          <w:rPr>
                            <w:rFonts w:cs="Noto Sans"/>
                            <w:color w:val="FFFFFF" w:themeColor="background1"/>
                          </w:rPr>
                          <w:t>1</w:t>
                        </w:r>
                        <w:r w:rsidRPr="00765B6A">
                          <w:rPr>
                            <w:rFonts w:cs="Noto Sans"/>
                            <w:noProof/>
                            <w:color w:val="FFFFFF" w:themeColor="background1"/>
                          </w:rPr>
                          <w:fldChar w:fldCharType="end"/>
                        </w:r>
                        <w:r w:rsidRPr="00765B6A">
                          <w:rPr>
                            <w:rFonts w:cs="Noto Sans"/>
                            <w:noProof/>
                            <w:color w:val="FFFFFF" w:themeColor="background1"/>
                          </w:rPr>
                          <w:t xml:space="preserve"> </w:t>
                        </w:r>
                        <w:r w:rsidRPr="00765B6A">
                          <w:rPr>
                            <w:rFonts w:ascii="MS Gothic" w:eastAsia="MS Gothic" w:hAnsi="MS Gothic" w:cs="MS Gothic" w:hint="eastAsia"/>
                            <w:noProof/>
                            <w:color w:val="FFFFFF" w:themeColor="background1"/>
                          </w:rPr>
                          <w:t>│</w:t>
                        </w:r>
                        <w:r w:rsidRPr="00765B6A">
                          <w:rPr>
                            <w:rFonts w:cs="Noto Sans"/>
                            <w:noProof/>
                            <w:color w:val="FFFFFF" w:themeColor="background1"/>
                          </w:rPr>
                          <w:t xml:space="preserve"> </w:t>
                        </w:r>
                        <w:sdt>
                          <w:sdtPr>
                            <w:rPr>
                              <w:rStyle w:val="Heading1Char"/>
                              <w:b w:val="0"/>
                              <w:bCs/>
                              <w:color w:val="FFFFFF" w:themeColor="background1"/>
                              <w:sz w:val="20"/>
                              <w:szCs w:val="20"/>
                            </w:rPr>
                            <w:alias w:val="Subject"/>
                            <w:id w:val="-1210176031"/>
                            <w:placeholder>
                              <w:docPart w:val="809CC5A4463840F99A5A1666DA15777C"/>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781710">
                              <w:rPr>
                                <w:rStyle w:val="Heading1Char"/>
                                <w:b w:val="0"/>
                                <w:bCs/>
                                <w:color w:val="FFFFFF" w:themeColor="background1"/>
                                <w:sz w:val="20"/>
                                <w:szCs w:val="20"/>
                              </w:rPr>
                              <w:t>Advisory Services – Legal</w:t>
                            </w:r>
                          </w:sdtContent>
                        </w:sdt>
                      </w:p>
                      <w:p w14:paraId="4180BD32" w14:textId="3C38CDA4" w:rsidR="00EC52A1" w:rsidRPr="00765B6A" w:rsidRDefault="00DC58D5" w:rsidP="00EC52A1">
                        <w:pPr>
                          <w:pStyle w:val="Footer"/>
                          <w:rPr>
                            <w:rFonts w:cs="Noto Sans"/>
                            <w:color w:val="FFFFFF" w:themeColor="background1"/>
                          </w:rPr>
                        </w:pPr>
                      </w:p>
                    </w:sdtContent>
                  </w:sdt>
                  <w:p w14:paraId="02E70833" w14:textId="77777777" w:rsidR="00EC52A1" w:rsidRDefault="00EC52A1" w:rsidP="00EC52A1"/>
                </w:txbxContent>
              </v:textbox>
            </v:shape>
          </w:pict>
        </mc:Fallback>
      </mc:AlternateContent>
    </w:r>
  </w:p>
  <w:p w14:paraId="19D50A24" w14:textId="778B85D5"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8E8F5" w14:textId="77777777" w:rsidR="003D03A4" w:rsidRDefault="003D03A4" w:rsidP="00190C24">
      <w:r>
        <w:separator/>
      </w:r>
    </w:p>
  </w:footnote>
  <w:footnote w:type="continuationSeparator" w:id="0">
    <w:p w14:paraId="5B395A51" w14:textId="77777777" w:rsidR="003D03A4" w:rsidRDefault="003D03A4"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F73" w14:textId="77777777" w:rsidR="00273E87" w:rsidRDefault="00273E87" w:rsidP="00555C3B">
    <w:pPr>
      <w:pStyle w:val="Header"/>
      <w:rPr>
        <w:lang w:val="en-US"/>
      </w:rPr>
    </w:pPr>
  </w:p>
  <w:p w14:paraId="7D6B1C5C" w14:textId="7460375E"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40" behindDoc="0" locked="0" layoutInCell="1" allowOverlap="1" wp14:anchorId="363F19AC" wp14:editId="6B752EC4">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1FF2F"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5766"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C221330"/>
    <w:lvl w:ilvl="0">
      <w:start w:val="1"/>
      <w:numFmt w:val="bullet"/>
      <w:pStyle w:val="ListBullet"/>
      <w:lvlText w:val="»"/>
      <w:lvlJc w:val="left"/>
      <w:pPr>
        <w:ind w:left="360" w:hanging="360"/>
      </w:pPr>
      <w:rPr>
        <w:rFonts w:ascii="Arial" w:hAnsi="Arial" w:cs="Times New Roman" w:hint="default"/>
        <w:color w:val="FFC000" w:themeColor="accent4"/>
      </w:rPr>
    </w:lvl>
  </w:abstractNum>
  <w:abstractNum w:abstractNumId="1" w15:restartNumberingAfterBreak="0">
    <w:nsid w:val="001859DE"/>
    <w:multiLevelType w:val="hybridMultilevel"/>
    <w:tmpl w:val="95567084"/>
    <w:lvl w:ilvl="0" w:tplc="0C090001">
      <w:start w:val="1"/>
      <w:numFmt w:val="bullet"/>
      <w:lvlText w:val=""/>
      <w:lvlJc w:val="left"/>
      <w:pPr>
        <w:ind w:left="720" w:hanging="360"/>
      </w:pPr>
      <w:rPr>
        <w:rFonts w:ascii="Symbol" w:hAnsi="Symbol" w:hint="default"/>
        <w:b/>
        <w:bCs/>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1605C98"/>
    <w:multiLevelType w:val="hybridMultilevel"/>
    <w:tmpl w:val="E0FCBF26"/>
    <w:lvl w:ilvl="0" w:tplc="0809000F">
      <w:start w:val="1"/>
      <w:numFmt w:val="decimal"/>
      <w:lvlText w:val="%1."/>
      <w:lvlJc w:val="left"/>
      <w:pPr>
        <w:ind w:left="-360" w:hanging="360"/>
      </w:p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 w15:restartNumberingAfterBreak="0">
    <w:nsid w:val="03377E7B"/>
    <w:multiLevelType w:val="multilevel"/>
    <w:tmpl w:val="5FF0EA8E"/>
    <w:lvl w:ilvl="0">
      <w:start w:val="1"/>
      <w:numFmt w:val="decimal"/>
      <w:pStyle w:val="Heading1"/>
      <w:lvlText w:val="%1."/>
      <w:lvlJc w:val="left"/>
      <w:pPr>
        <w:ind w:left="360" w:hanging="360"/>
      </w:pPr>
    </w:lvl>
    <w:lvl w:ilvl="1">
      <w:start w:val="1"/>
      <w:numFmt w:val="decimal"/>
      <w:pStyle w:val="Heading2"/>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4"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CCE5ABB"/>
    <w:multiLevelType w:val="hybridMultilevel"/>
    <w:tmpl w:val="EEB4FB36"/>
    <w:lvl w:ilvl="0" w:tplc="E0DE6262">
      <w:start w:val="1"/>
      <w:numFmt w:val="bullet"/>
      <w:lvlText w:val="»"/>
      <w:lvlJc w:val="left"/>
      <w:pPr>
        <w:ind w:left="720" w:hanging="360"/>
      </w:pPr>
      <w:rPr>
        <w:rFonts w:ascii="Arial" w:hAnsi="Arial" w:cs="Times New Roman" w:hint="default"/>
        <w:b/>
        <w:bCs/>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FF4245D"/>
    <w:multiLevelType w:val="hybridMultilevel"/>
    <w:tmpl w:val="70366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5B1709"/>
    <w:multiLevelType w:val="hybridMultilevel"/>
    <w:tmpl w:val="C3B0E4F2"/>
    <w:lvl w:ilvl="0" w:tplc="0C090001">
      <w:start w:val="1"/>
      <w:numFmt w:val="bullet"/>
      <w:lvlText w:val=""/>
      <w:lvlJc w:val="left"/>
      <w:pPr>
        <w:ind w:left="720" w:hanging="360"/>
      </w:pPr>
      <w:rPr>
        <w:rFonts w:ascii="Symbol" w:hAnsi="Symbol" w:hint="default"/>
        <w:b/>
        <w:bCs/>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3BF0B78"/>
    <w:multiLevelType w:val="hybridMultilevel"/>
    <w:tmpl w:val="64E88A84"/>
    <w:lvl w:ilvl="0" w:tplc="E0DE6262">
      <w:start w:val="1"/>
      <w:numFmt w:val="bullet"/>
      <w:lvlText w:val="»"/>
      <w:lvlJc w:val="left"/>
      <w:pPr>
        <w:ind w:left="360" w:hanging="360"/>
      </w:pPr>
      <w:rPr>
        <w:rFonts w:ascii="Arial" w:hAnsi="Arial" w:cs="Times New Roman" w:hint="default"/>
        <w:b/>
        <w:bCs/>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2B730F1D"/>
    <w:multiLevelType w:val="hybridMultilevel"/>
    <w:tmpl w:val="985C8F60"/>
    <w:lvl w:ilvl="0" w:tplc="911C6D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B1808"/>
    <w:multiLevelType w:val="hybridMultilevel"/>
    <w:tmpl w:val="A8E26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45FF6"/>
    <w:multiLevelType w:val="hybridMultilevel"/>
    <w:tmpl w:val="4B3EE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F70713"/>
    <w:multiLevelType w:val="hybridMultilevel"/>
    <w:tmpl w:val="35349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B1269D"/>
    <w:multiLevelType w:val="hybridMultilevel"/>
    <w:tmpl w:val="CCB0F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CB6571"/>
    <w:multiLevelType w:val="hybridMultilevel"/>
    <w:tmpl w:val="2F94A57E"/>
    <w:lvl w:ilvl="0" w:tplc="0C090001">
      <w:start w:val="1"/>
      <w:numFmt w:val="bullet"/>
      <w:lvlText w:val=""/>
      <w:lvlJc w:val="left"/>
      <w:pPr>
        <w:ind w:left="720" w:hanging="360"/>
      </w:pPr>
      <w:rPr>
        <w:rFonts w:ascii="Symbol" w:hAnsi="Symbol" w:hint="default"/>
        <w:b/>
        <w:bCs/>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5255E7B"/>
    <w:multiLevelType w:val="hybridMultilevel"/>
    <w:tmpl w:val="CDC22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59D45E6A"/>
    <w:multiLevelType w:val="hybridMultilevel"/>
    <w:tmpl w:val="437A0E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BF33DAF"/>
    <w:multiLevelType w:val="hybridMultilevel"/>
    <w:tmpl w:val="0A6E63DE"/>
    <w:lvl w:ilvl="0" w:tplc="0C090001">
      <w:start w:val="1"/>
      <w:numFmt w:val="bullet"/>
      <w:lvlText w:val=""/>
      <w:lvlJc w:val="left"/>
      <w:pPr>
        <w:ind w:left="720" w:hanging="360"/>
      </w:pPr>
      <w:rPr>
        <w:rFonts w:ascii="Symbol" w:hAnsi="Symbol" w:hint="default"/>
        <w:b/>
        <w:bCs/>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F2600B6"/>
    <w:multiLevelType w:val="hybridMultilevel"/>
    <w:tmpl w:val="21EA7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231BE3"/>
    <w:multiLevelType w:val="hybridMultilevel"/>
    <w:tmpl w:val="0BA29E74"/>
    <w:lvl w:ilvl="0" w:tplc="42E6D9C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A61896"/>
    <w:multiLevelType w:val="hybridMultilevel"/>
    <w:tmpl w:val="BF00FD38"/>
    <w:lvl w:ilvl="0" w:tplc="36B2A69A">
      <w:start w:val="1"/>
      <w:numFmt w:val="bullet"/>
      <w:lvlText w:val="-"/>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3" w15:restartNumberingAfterBreak="0">
    <w:nsid w:val="68E3070F"/>
    <w:multiLevelType w:val="multilevel"/>
    <w:tmpl w:val="EC0AFE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4" w15:restartNumberingAfterBreak="0">
    <w:nsid w:val="6E713700"/>
    <w:multiLevelType w:val="hybridMultilevel"/>
    <w:tmpl w:val="52088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08624E"/>
    <w:multiLevelType w:val="hybridMultilevel"/>
    <w:tmpl w:val="A25885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2347507"/>
    <w:multiLevelType w:val="hybridMultilevel"/>
    <w:tmpl w:val="CBDAE6D2"/>
    <w:lvl w:ilvl="0" w:tplc="911C6D0C">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A83329"/>
    <w:multiLevelType w:val="hybridMultilevel"/>
    <w:tmpl w:val="E4843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AB66598"/>
    <w:multiLevelType w:val="multilevel"/>
    <w:tmpl w:val="891C986E"/>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num w:numId="1" w16cid:durableId="1371102511">
    <w:abstractNumId w:val="4"/>
  </w:num>
  <w:num w:numId="2" w16cid:durableId="800348836">
    <w:abstractNumId w:val="17"/>
  </w:num>
  <w:num w:numId="3" w16cid:durableId="424690506">
    <w:abstractNumId w:val="11"/>
  </w:num>
  <w:num w:numId="4" w16cid:durableId="1352219071">
    <w:abstractNumId w:val="2"/>
  </w:num>
  <w:num w:numId="5" w16cid:durableId="688750406">
    <w:abstractNumId w:val="28"/>
  </w:num>
  <w:num w:numId="6" w16cid:durableId="1022130639">
    <w:abstractNumId w:val="26"/>
  </w:num>
  <w:num w:numId="7" w16cid:durableId="1282805254">
    <w:abstractNumId w:val="9"/>
  </w:num>
  <w:num w:numId="8" w16cid:durableId="449936833">
    <w:abstractNumId w:val="21"/>
  </w:num>
  <w:num w:numId="9" w16cid:durableId="73671201">
    <w:abstractNumId w:val="18"/>
  </w:num>
  <w:num w:numId="10" w16cid:durableId="731385542">
    <w:abstractNumId w:val="3"/>
  </w:num>
  <w:num w:numId="11" w16cid:durableId="888420450">
    <w:abstractNumId w:val="3"/>
  </w:num>
  <w:num w:numId="12" w16cid:durableId="1234465793">
    <w:abstractNumId w:val="3"/>
  </w:num>
  <w:num w:numId="13" w16cid:durableId="666129424">
    <w:abstractNumId w:val="3"/>
  </w:num>
  <w:num w:numId="14" w16cid:durableId="466821615">
    <w:abstractNumId w:val="3"/>
  </w:num>
  <w:num w:numId="15" w16cid:durableId="1675842306">
    <w:abstractNumId w:val="3"/>
  </w:num>
  <w:num w:numId="16" w16cid:durableId="1513255092">
    <w:abstractNumId w:val="3"/>
  </w:num>
  <w:num w:numId="17" w16cid:durableId="935015039">
    <w:abstractNumId w:val="3"/>
  </w:num>
  <w:num w:numId="18" w16cid:durableId="1825200260">
    <w:abstractNumId w:val="3"/>
  </w:num>
  <w:num w:numId="19" w16cid:durableId="507333452">
    <w:abstractNumId w:val="3"/>
  </w:num>
  <w:num w:numId="20" w16cid:durableId="1666934045">
    <w:abstractNumId w:val="16"/>
  </w:num>
  <w:num w:numId="21" w16cid:durableId="1731466582">
    <w:abstractNumId w:val="12"/>
  </w:num>
  <w:num w:numId="22" w16cid:durableId="733938188">
    <w:abstractNumId w:val="18"/>
  </w:num>
  <w:num w:numId="23" w16cid:durableId="1908878703">
    <w:abstractNumId w:val="13"/>
  </w:num>
  <w:num w:numId="24" w16cid:durableId="1014377692">
    <w:abstractNumId w:val="14"/>
  </w:num>
  <w:num w:numId="25" w16cid:durableId="690302008">
    <w:abstractNumId w:val="10"/>
  </w:num>
  <w:num w:numId="26" w16cid:durableId="1780492139">
    <w:abstractNumId w:val="22"/>
  </w:num>
  <w:num w:numId="27" w16cid:durableId="572814726">
    <w:abstractNumId w:val="24"/>
  </w:num>
  <w:num w:numId="28" w16cid:durableId="497698402">
    <w:abstractNumId w:val="20"/>
  </w:num>
  <w:num w:numId="29" w16cid:durableId="737050295">
    <w:abstractNumId w:val="6"/>
  </w:num>
  <w:num w:numId="30" w16cid:durableId="794055874">
    <w:abstractNumId w:val="0"/>
  </w:num>
  <w:num w:numId="31" w16cid:durableId="239297773">
    <w:abstractNumId w:val="7"/>
  </w:num>
  <w:num w:numId="32" w16cid:durableId="845901237">
    <w:abstractNumId w:val="7"/>
  </w:num>
  <w:num w:numId="33" w16cid:durableId="463813489">
    <w:abstractNumId w:val="15"/>
  </w:num>
  <w:num w:numId="34" w16cid:durableId="2008555139">
    <w:abstractNumId w:val="5"/>
  </w:num>
  <w:num w:numId="35" w16cid:durableId="1027440072">
    <w:abstractNumId w:val="1"/>
  </w:num>
  <w:num w:numId="36" w16cid:durableId="32703309">
    <w:abstractNumId w:val="1"/>
  </w:num>
  <w:num w:numId="37" w16cid:durableId="404492953">
    <w:abstractNumId w:val="19"/>
  </w:num>
  <w:num w:numId="38" w16cid:durableId="719086146">
    <w:abstractNumId w:val="8"/>
  </w:num>
  <w:num w:numId="39" w16cid:durableId="100490675">
    <w:abstractNumId w:val="27"/>
  </w:num>
  <w:num w:numId="40" w16cid:durableId="158008319">
    <w:abstractNumId w:val="25"/>
  </w:num>
  <w:num w:numId="41" w16cid:durableId="833836214">
    <w:abstractNumId w:val="23"/>
  </w:num>
  <w:num w:numId="42" w16cid:durableId="6650187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2B"/>
    <w:rsid w:val="00003124"/>
    <w:rsid w:val="00007985"/>
    <w:rsid w:val="0002155B"/>
    <w:rsid w:val="00026561"/>
    <w:rsid w:val="00035F7D"/>
    <w:rsid w:val="000425F7"/>
    <w:rsid w:val="000436FC"/>
    <w:rsid w:val="0005471A"/>
    <w:rsid w:val="00066E58"/>
    <w:rsid w:val="000B61AC"/>
    <w:rsid w:val="000C29CC"/>
    <w:rsid w:val="000C48D8"/>
    <w:rsid w:val="000C6874"/>
    <w:rsid w:val="000E1223"/>
    <w:rsid w:val="000F4E58"/>
    <w:rsid w:val="000F7FDE"/>
    <w:rsid w:val="001000FC"/>
    <w:rsid w:val="00101904"/>
    <w:rsid w:val="0011122C"/>
    <w:rsid w:val="001206C4"/>
    <w:rsid w:val="001222EA"/>
    <w:rsid w:val="00134EFF"/>
    <w:rsid w:val="0014521E"/>
    <w:rsid w:val="0014561E"/>
    <w:rsid w:val="00190C24"/>
    <w:rsid w:val="001C11D2"/>
    <w:rsid w:val="001C43F0"/>
    <w:rsid w:val="001D7A56"/>
    <w:rsid w:val="001E70E9"/>
    <w:rsid w:val="001F2B12"/>
    <w:rsid w:val="001F3A36"/>
    <w:rsid w:val="0020495F"/>
    <w:rsid w:val="00227C27"/>
    <w:rsid w:val="002371F7"/>
    <w:rsid w:val="0024520B"/>
    <w:rsid w:val="002706E8"/>
    <w:rsid w:val="002710E9"/>
    <w:rsid w:val="00273E87"/>
    <w:rsid w:val="002B15E5"/>
    <w:rsid w:val="002B5219"/>
    <w:rsid w:val="002B7607"/>
    <w:rsid w:val="002C3A02"/>
    <w:rsid w:val="002C47FC"/>
    <w:rsid w:val="002C64E6"/>
    <w:rsid w:val="002D2D4F"/>
    <w:rsid w:val="002E1B2E"/>
    <w:rsid w:val="002E3E34"/>
    <w:rsid w:val="002F78A2"/>
    <w:rsid w:val="00320670"/>
    <w:rsid w:val="003267DF"/>
    <w:rsid w:val="00337EAA"/>
    <w:rsid w:val="00352363"/>
    <w:rsid w:val="00355E78"/>
    <w:rsid w:val="0038096F"/>
    <w:rsid w:val="00385A56"/>
    <w:rsid w:val="0039660F"/>
    <w:rsid w:val="00396D5E"/>
    <w:rsid w:val="003975D2"/>
    <w:rsid w:val="003B361F"/>
    <w:rsid w:val="003C33FE"/>
    <w:rsid w:val="003C4DFA"/>
    <w:rsid w:val="003C632B"/>
    <w:rsid w:val="003D03A4"/>
    <w:rsid w:val="003D33F7"/>
    <w:rsid w:val="003D540F"/>
    <w:rsid w:val="003E5C52"/>
    <w:rsid w:val="003F643A"/>
    <w:rsid w:val="00402CFC"/>
    <w:rsid w:val="00403EF1"/>
    <w:rsid w:val="00404BCA"/>
    <w:rsid w:val="00416A49"/>
    <w:rsid w:val="00442FE1"/>
    <w:rsid w:val="004468D2"/>
    <w:rsid w:val="004562DA"/>
    <w:rsid w:val="004607DD"/>
    <w:rsid w:val="00476A07"/>
    <w:rsid w:val="004A5E19"/>
    <w:rsid w:val="004C62ED"/>
    <w:rsid w:val="004E5A25"/>
    <w:rsid w:val="004E62A1"/>
    <w:rsid w:val="0054089B"/>
    <w:rsid w:val="00540992"/>
    <w:rsid w:val="00543A32"/>
    <w:rsid w:val="00555585"/>
    <w:rsid w:val="0055582F"/>
    <w:rsid w:val="00555C3B"/>
    <w:rsid w:val="00570EFC"/>
    <w:rsid w:val="005A28EB"/>
    <w:rsid w:val="005B0EC5"/>
    <w:rsid w:val="005B79A8"/>
    <w:rsid w:val="005C4B83"/>
    <w:rsid w:val="005C68D9"/>
    <w:rsid w:val="005F4331"/>
    <w:rsid w:val="005F7E6D"/>
    <w:rsid w:val="0062040F"/>
    <w:rsid w:val="006239A5"/>
    <w:rsid w:val="00636B71"/>
    <w:rsid w:val="006420CC"/>
    <w:rsid w:val="00642546"/>
    <w:rsid w:val="00646AE8"/>
    <w:rsid w:val="00672747"/>
    <w:rsid w:val="006811B6"/>
    <w:rsid w:val="006A4A91"/>
    <w:rsid w:val="006C3D8E"/>
    <w:rsid w:val="006C69DB"/>
    <w:rsid w:val="006E639F"/>
    <w:rsid w:val="006F0011"/>
    <w:rsid w:val="006F1B8A"/>
    <w:rsid w:val="007274E7"/>
    <w:rsid w:val="0074368F"/>
    <w:rsid w:val="00765B6A"/>
    <w:rsid w:val="0077113E"/>
    <w:rsid w:val="00781710"/>
    <w:rsid w:val="00792FC7"/>
    <w:rsid w:val="007B4E7E"/>
    <w:rsid w:val="007B589C"/>
    <w:rsid w:val="007D023E"/>
    <w:rsid w:val="007D0BEA"/>
    <w:rsid w:val="007D3462"/>
    <w:rsid w:val="0080579A"/>
    <w:rsid w:val="008171D4"/>
    <w:rsid w:val="0083235D"/>
    <w:rsid w:val="00834179"/>
    <w:rsid w:val="0084602D"/>
    <w:rsid w:val="00852BD5"/>
    <w:rsid w:val="00857684"/>
    <w:rsid w:val="00864110"/>
    <w:rsid w:val="008641E2"/>
    <w:rsid w:val="0088002B"/>
    <w:rsid w:val="00882017"/>
    <w:rsid w:val="00887A49"/>
    <w:rsid w:val="008A4FA7"/>
    <w:rsid w:val="008A7AFC"/>
    <w:rsid w:val="008B474E"/>
    <w:rsid w:val="00907963"/>
    <w:rsid w:val="009222D8"/>
    <w:rsid w:val="009308AB"/>
    <w:rsid w:val="00931647"/>
    <w:rsid w:val="00936613"/>
    <w:rsid w:val="00956995"/>
    <w:rsid w:val="0096078C"/>
    <w:rsid w:val="0096595E"/>
    <w:rsid w:val="009659AB"/>
    <w:rsid w:val="00973B0B"/>
    <w:rsid w:val="009A5056"/>
    <w:rsid w:val="009A6215"/>
    <w:rsid w:val="009A7275"/>
    <w:rsid w:val="009B7893"/>
    <w:rsid w:val="009E5EE5"/>
    <w:rsid w:val="009E6AA2"/>
    <w:rsid w:val="009F02B3"/>
    <w:rsid w:val="00A25FB3"/>
    <w:rsid w:val="00A36618"/>
    <w:rsid w:val="00A37A8D"/>
    <w:rsid w:val="00A40883"/>
    <w:rsid w:val="00A47F67"/>
    <w:rsid w:val="00A65710"/>
    <w:rsid w:val="00A86680"/>
    <w:rsid w:val="00AB0A25"/>
    <w:rsid w:val="00AC555D"/>
    <w:rsid w:val="00AD2501"/>
    <w:rsid w:val="00AD5F26"/>
    <w:rsid w:val="00AE022D"/>
    <w:rsid w:val="00AF7DD9"/>
    <w:rsid w:val="00B04635"/>
    <w:rsid w:val="00B2314B"/>
    <w:rsid w:val="00B30EA8"/>
    <w:rsid w:val="00B33337"/>
    <w:rsid w:val="00B613E4"/>
    <w:rsid w:val="00B62F52"/>
    <w:rsid w:val="00B639CA"/>
    <w:rsid w:val="00B70170"/>
    <w:rsid w:val="00B8417F"/>
    <w:rsid w:val="00B8699D"/>
    <w:rsid w:val="00B9771E"/>
    <w:rsid w:val="00BB72E5"/>
    <w:rsid w:val="00BC4AA9"/>
    <w:rsid w:val="00BC6556"/>
    <w:rsid w:val="00BD0F68"/>
    <w:rsid w:val="00BD2974"/>
    <w:rsid w:val="00BE3E40"/>
    <w:rsid w:val="00C07E26"/>
    <w:rsid w:val="00C12777"/>
    <w:rsid w:val="00C31759"/>
    <w:rsid w:val="00C33A93"/>
    <w:rsid w:val="00C51A70"/>
    <w:rsid w:val="00C51D08"/>
    <w:rsid w:val="00C75C2F"/>
    <w:rsid w:val="00CA66DC"/>
    <w:rsid w:val="00CB07AD"/>
    <w:rsid w:val="00CB609F"/>
    <w:rsid w:val="00CC7632"/>
    <w:rsid w:val="00CD57A1"/>
    <w:rsid w:val="00CD793C"/>
    <w:rsid w:val="00D01CD2"/>
    <w:rsid w:val="00D13431"/>
    <w:rsid w:val="00D17E6A"/>
    <w:rsid w:val="00D17E7D"/>
    <w:rsid w:val="00D23470"/>
    <w:rsid w:val="00D40249"/>
    <w:rsid w:val="00D412BA"/>
    <w:rsid w:val="00D75050"/>
    <w:rsid w:val="00D842DF"/>
    <w:rsid w:val="00D94442"/>
    <w:rsid w:val="00DC58D5"/>
    <w:rsid w:val="00DC5E03"/>
    <w:rsid w:val="00DC7BE5"/>
    <w:rsid w:val="00DD5973"/>
    <w:rsid w:val="00DE1E49"/>
    <w:rsid w:val="00DF17AC"/>
    <w:rsid w:val="00DF2836"/>
    <w:rsid w:val="00E3336E"/>
    <w:rsid w:val="00E35FA4"/>
    <w:rsid w:val="00E42000"/>
    <w:rsid w:val="00E441D6"/>
    <w:rsid w:val="00E451F8"/>
    <w:rsid w:val="00E47FB8"/>
    <w:rsid w:val="00E872C5"/>
    <w:rsid w:val="00EA2EFC"/>
    <w:rsid w:val="00EC52A1"/>
    <w:rsid w:val="00ED791B"/>
    <w:rsid w:val="00EF474F"/>
    <w:rsid w:val="00EF4AC5"/>
    <w:rsid w:val="00F16981"/>
    <w:rsid w:val="00F21C1B"/>
    <w:rsid w:val="00F367B3"/>
    <w:rsid w:val="00F37CA9"/>
    <w:rsid w:val="00F43573"/>
    <w:rsid w:val="00F447A2"/>
    <w:rsid w:val="00F52025"/>
    <w:rsid w:val="00F81184"/>
    <w:rsid w:val="00F902EF"/>
    <w:rsid w:val="00FA47EF"/>
    <w:rsid w:val="00FA4B57"/>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BC11A"/>
  <w15:chartTrackingRefBased/>
  <w15:docId w15:val="{83815930-5735-4A42-8A73-D9DF5DC7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6" w:unhideWhenUsed="1" w:qFormat="1"/>
    <w:lsdException w:name="heading 4" w:semiHidden="1" w:uiPriority="6"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C3A02"/>
    <w:pPr>
      <w:spacing w:after="120"/>
    </w:pPr>
    <w:rPr>
      <w:rFonts w:ascii="Noto Sans" w:eastAsiaTheme="minorEastAsia" w:hAnsi="Noto Sans"/>
      <w:sz w:val="20"/>
    </w:rPr>
  </w:style>
  <w:style w:type="paragraph" w:styleId="Heading1">
    <w:name w:val="heading 1"/>
    <w:basedOn w:val="Normal"/>
    <w:next w:val="Normal"/>
    <w:link w:val="Heading1Char"/>
    <w:autoRedefine/>
    <w:uiPriority w:val="5"/>
    <w:qFormat/>
    <w:rsid w:val="003C632B"/>
    <w:pPr>
      <w:widowControl w:val="0"/>
      <w:numPr>
        <w:numId w:val="19"/>
      </w:numPr>
      <w:tabs>
        <w:tab w:val="left" w:pos="1701"/>
      </w:tabs>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3C632B"/>
    <w:pPr>
      <w:numPr>
        <w:ilvl w:val="1"/>
        <w:numId w:val="19"/>
      </w:numPr>
      <w:spacing w:before="240"/>
      <w:outlineLvl w:val="1"/>
    </w:pPr>
    <w:rPr>
      <w:rFonts w:cs="Arial"/>
      <w:b/>
      <w:bCs/>
      <w:sz w:val="32"/>
      <w:szCs w:val="40"/>
    </w:rPr>
  </w:style>
  <w:style w:type="paragraph" w:styleId="Heading3">
    <w:name w:val="heading 3"/>
    <w:basedOn w:val="Normal"/>
    <w:next w:val="Normal"/>
    <w:link w:val="Heading3Char"/>
    <w:autoRedefine/>
    <w:uiPriority w:val="6"/>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6"/>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5"/>
    <w:rsid w:val="003C632B"/>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3C632B"/>
    <w:rPr>
      <w:rFonts w:ascii="Noto Sans" w:eastAsiaTheme="minorEastAsia" w:hAnsi="Noto Sans"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1"/>
    <w:qFormat/>
    <w:rsid w:val="0055582F"/>
    <w:pPr>
      <w:numPr>
        <w:numId w:val="3"/>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C3A02"/>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2C3A02"/>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18"/>
      <w:lang w:eastAsia="en-AU"/>
    </w:rPr>
  </w:style>
  <w:style w:type="table" w:customStyle="1" w:styleId="TableGrid1">
    <w:name w:val="Table Grid1"/>
    <w:basedOn w:val="TableNormal"/>
    <w:next w:val="TableGrid"/>
    <w:rsid w:val="003C632B"/>
    <w:pPr>
      <w:spacing w:before="60"/>
    </w:pPr>
    <w:rPr>
      <w:rFonts w:ascii="Arial" w:eastAsia="Arial" w:hAnsi="Arial" w:cs="Times New Roman"/>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3C632B"/>
    <w:pPr>
      <w:spacing w:before="60"/>
    </w:pPr>
    <w:rPr>
      <w:rFonts w:ascii="Arial" w:eastAsia="Arial" w:hAnsi="Arial" w:cs="Times New Roman"/>
      <w:sz w:val="18"/>
      <w:szCs w:val="18"/>
    </w:rPr>
    <w:tblPr>
      <w:tblStyleRowBandSize w:val="1"/>
      <w:tblInd w:w="0" w:type="nil"/>
      <w:tblBorders>
        <w:top w:val="single" w:sz="4" w:space="0" w:color="BFBFBF"/>
        <w:bottom w:val="single" w:sz="4" w:space="0" w:color="BFBFBF"/>
        <w:insideH w:val="single" w:sz="4" w:space="0" w:color="BFBFBF"/>
      </w:tblBorders>
    </w:tblPr>
    <w:tblStylePr w:type="firstRow">
      <w:tblPr/>
      <w:tcPr>
        <w:shd w:val="clear" w:color="auto" w:fill="D5D5D5"/>
      </w:tcPr>
    </w:tblStylePr>
  </w:style>
  <w:style w:type="character" w:styleId="PlaceholderText">
    <w:name w:val="Placeholder Text"/>
    <w:basedOn w:val="DefaultParagraphFont"/>
    <w:uiPriority w:val="99"/>
    <w:semiHidden/>
    <w:rsid w:val="003C632B"/>
  </w:style>
  <w:style w:type="paragraph" w:styleId="ListBullet">
    <w:name w:val="List Bullet"/>
    <w:basedOn w:val="Normal"/>
    <w:uiPriority w:val="1"/>
    <w:semiHidden/>
    <w:unhideWhenUsed/>
    <w:qFormat/>
    <w:rsid w:val="0014561E"/>
    <w:pPr>
      <w:numPr>
        <w:numId w:val="30"/>
      </w:numPr>
      <w:spacing w:before="60" w:after="60"/>
      <w:ind w:left="0" w:firstLine="0"/>
    </w:pPr>
    <w:rPr>
      <w:rFonts w:ascii="Arial" w:eastAsiaTheme="minorHAnsi" w:hAnsi="Arial"/>
      <w:color w:val="FFC000" w:themeColor="accent4"/>
      <w:szCs w:val="18"/>
    </w:rPr>
  </w:style>
  <w:style w:type="paragraph" w:styleId="BodyText">
    <w:name w:val="Body Text"/>
    <w:basedOn w:val="Normal"/>
    <w:link w:val="BodyTextChar"/>
    <w:unhideWhenUsed/>
    <w:rsid w:val="005C4B83"/>
    <w:pPr>
      <w:spacing w:before="120"/>
    </w:pPr>
    <w:rPr>
      <w:rFonts w:ascii="Arial" w:eastAsiaTheme="minorHAnsi" w:hAnsi="Arial"/>
      <w:color w:val="FFC000" w:themeColor="accent4"/>
      <w:szCs w:val="18"/>
    </w:rPr>
  </w:style>
  <w:style w:type="character" w:customStyle="1" w:styleId="BodyTextChar">
    <w:name w:val="Body Text Char"/>
    <w:basedOn w:val="DefaultParagraphFont"/>
    <w:link w:val="BodyText"/>
    <w:rsid w:val="005C4B83"/>
    <w:rPr>
      <w:rFonts w:ascii="Arial" w:hAnsi="Arial"/>
      <w:color w:val="FFC000" w:themeColor="accent4"/>
      <w:sz w:val="20"/>
      <w:szCs w:val="18"/>
    </w:rPr>
  </w:style>
  <w:style w:type="character" w:styleId="Hyperlink">
    <w:name w:val="Hyperlink"/>
    <w:basedOn w:val="DefaultParagraphFont"/>
    <w:uiPriority w:val="99"/>
    <w:unhideWhenUsed/>
    <w:rsid w:val="004C62ED"/>
    <w:rPr>
      <w:color w:val="0563C1" w:themeColor="hyperlink"/>
      <w:u w:val="single"/>
    </w:rPr>
  </w:style>
  <w:style w:type="character" w:styleId="UnresolvedMention">
    <w:name w:val="Unresolved Mention"/>
    <w:basedOn w:val="DefaultParagraphFont"/>
    <w:uiPriority w:val="99"/>
    <w:rsid w:val="004C6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oteril\Downloads\Scope_of_Services_-_Advisory_Services_-_Legal_-_Template.DOC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eril\Downloads\deliverqld-word-template-noto-a4p%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2456B9CEB43F4A99E96AED49D11DE"/>
        <w:category>
          <w:name w:val="General"/>
          <w:gallery w:val="placeholder"/>
        </w:category>
        <w:types>
          <w:type w:val="bbPlcHdr"/>
        </w:types>
        <w:behaviors>
          <w:behavior w:val="content"/>
        </w:behaviors>
        <w:guid w:val="{5BEDD51F-6886-4866-9E6F-7E11C61F48B0}"/>
      </w:docPartPr>
      <w:docPartBody>
        <w:p w:rsidR="003E053B" w:rsidRDefault="004C4EE0" w:rsidP="004C4EE0">
          <w:pPr>
            <w:pStyle w:val="DD62456B9CEB43F4A99E96AED49D11DE"/>
          </w:pPr>
          <w:r>
            <w:rPr>
              <w:rStyle w:val="PlaceholderText"/>
            </w:rPr>
            <w:t>[Title]</w:t>
          </w:r>
        </w:p>
      </w:docPartBody>
    </w:docPart>
    <w:docPart>
      <w:docPartPr>
        <w:name w:val="E1B1F677563D43938B107E74EB83C434"/>
        <w:category>
          <w:name w:val="General"/>
          <w:gallery w:val="placeholder"/>
        </w:category>
        <w:types>
          <w:type w:val="bbPlcHdr"/>
        </w:types>
        <w:behaviors>
          <w:behavior w:val="content"/>
        </w:behaviors>
        <w:guid w:val="{82815E6B-886C-4885-95A0-4844EEF516C0}"/>
      </w:docPartPr>
      <w:docPartBody>
        <w:p w:rsidR="003E053B" w:rsidRDefault="004C4EE0" w:rsidP="004C4EE0">
          <w:pPr>
            <w:pStyle w:val="E1B1F677563D43938B107E74EB83C434"/>
          </w:pPr>
          <w:r>
            <w:rPr>
              <w:rStyle w:val="PlaceholderText"/>
            </w:rPr>
            <w:t>[Subject]</w:t>
          </w:r>
        </w:p>
      </w:docPartBody>
    </w:docPart>
    <w:docPart>
      <w:docPartPr>
        <w:name w:val="809CC5A4463840F99A5A1666DA15777C"/>
        <w:category>
          <w:name w:val="General"/>
          <w:gallery w:val="placeholder"/>
        </w:category>
        <w:types>
          <w:type w:val="bbPlcHdr"/>
        </w:types>
        <w:behaviors>
          <w:behavior w:val="content"/>
        </w:behaviors>
        <w:guid w:val="{FB03F4C0-E023-49AA-9661-81DF7D7FFFE7}"/>
      </w:docPartPr>
      <w:docPartBody>
        <w:p w:rsidR="00717123" w:rsidRDefault="00717123" w:rsidP="00717123">
          <w:pPr>
            <w:pStyle w:val="809CC5A4463840F99A5A1666DA15777C"/>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E0"/>
    <w:rsid w:val="000C48D8"/>
    <w:rsid w:val="003E053B"/>
    <w:rsid w:val="004C4EE0"/>
    <w:rsid w:val="005647B7"/>
    <w:rsid w:val="006A4A91"/>
    <w:rsid w:val="00717123"/>
    <w:rsid w:val="00B639CA"/>
    <w:rsid w:val="00D40249"/>
    <w:rsid w:val="00D61E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7123"/>
  </w:style>
  <w:style w:type="paragraph" w:customStyle="1" w:styleId="DD62456B9CEB43F4A99E96AED49D11DE">
    <w:name w:val="DD62456B9CEB43F4A99E96AED49D11DE"/>
    <w:rsid w:val="004C4EE0"/>
  </w:style>
  <w:style w:type="paragraph" w:customStyle="1" w:styleId="E1B1F677563D43938B107E74EB83C434">
    <w:name w:val="E1B1F677563D43938B107E74EB83C434"/>
    <w:rsid w:val="004C4EE0"/>
  </w:style>
  <w:style w:type="paragraph" w:customStyle="1" w:styleId="809CC5A4463840F99A5A1666DA15777C">
    <w:name w:val="809CC5A4463840F99A5A1666DA15777C"/>
    <w:rsid w:val="00717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45F5546C4134CA14404AADD0E4E4F" ma:contentTypeVersion="13" ma:contentTypeDescription="Create a new document." ma:contentTypeScope="" ma:versionID="f76fe415d34d4bda91b481519906708a">
  <xsd:schema xmlns:xsd="http://www.w3.org/2001/XMLSchema" xmlns:xs="http://www.w3.org/2001/XMLSchema" xmlns:p="http://schemas.microsoft.com/office/2006/metadata/properties" xmlns:ns2="0bc9e18d-4312-45e6-b82d-a02b142c0076" xmlns:ns3="658a648c-f9ea-4a2f-975b-7ce25bdb4b8c" targetNamespace="http://schemas.microsoft.com/office/2006/metadata/properties" ma:root="true" ma:fieldsID="9e2690a87511e4e59b429124f30dcf67" ns2:_="" ns3:_="">
    <xsd:import namespace="0bc9e18d-4312-45e6-b82d-a02b142c0076"/>
    <xsd:import namespace="658a648c-f9ea-4a2f-975b-7ce25bdb4b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9e18d-4312-45e6-b82d-a02b142c00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 ma:index="20"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a648c-f9ea-4a2f-975b-7ce25bdb4b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19206b-516d-42d8-abf3-050dfb1fe887}" ma:internalName="TaxCatchAll" ma:showField="CatchAllData" ma:web="658a648c-f9ea-4a2f-975b-7ce25bdb4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58a648c-f9ea-4a2f-975b-7ce25bdb4b8c" xsi:nil="true"/>
    <lcf76f155ced4ddcb4097134ff3c332f xmlns="0bc9e18d-4312-45e6-b82d-a02b142c0076">
      <Terms xmlns="http://schemas.microsoft.com/office/infopath/2007/PartnerControls"/>
    </lcf76f155ced4ddcb4097134ff3c332f>
    <comments xmlns="0bc9e18d-4312-45e6-b82d-a02b142c0076">This work is marked with CC0 1.0 Universal.</comments>
  </documentManagement>
</p:properties>
</file>

<file path=customXml/itemProps1.xml><?xml version="1.0" encoding="utf-8"?>
<ds:datastoreItem xmlns:ds="http://schemas.openxmlformats.org/officeDocument/2006/customXml" ds:itemID="{605E5598-A80A-4DE0-8E54-128C41D35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9e18d-4312-45e6-b82d-a02b142c0076"/>
    <ds:schemaRef ds:uri="658a648c-f9ea-4a2f-975b-7ce25bdb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3.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4.xml><?xml version="1.0" encoding="utf-8"?>
<ds:datastoreItem xmlns:ds="http://schemas.openxmlformats.org/officeDocument/2006/customXml" ds:itemID="{23255E8B-6177-423A-8434-C94A74EEE5E8}">
  <ds:schemaRefs>
    <ds:schemaRef ds:uri="http://purl.org/dc/term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0bc9e18d-4312-45e6-b82d-a02b142c0076"/>
    <ds:schemaRef ds:uri="http://purl.org/dc/dcmitype/"/>
    <ds:schemaRef ds:uri="http://schemas.microsoft.com/office/2006/documentManagement/types"/>
    <ds:schemaRef ds:uri="658a648c-f9ea-4a2f-975b-7ce25bdb4b8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deliverqld-word-template-noto-a4p (2)</Template>
  <TotalTime>0</TotalTime>
  <Pages>6</Pages>
  <Words>1427</Words>
  <Characters>8235</Characters>
  <Application>Microsoft Office Word</Application>
  <DocSecurity>0</DocSecurity>
  <Lines>216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Services</dc:title>
  <dc:subject>Advisory Services – Legal</dc:subject>
  <dc:creator>Lydia Poteri</dc:creator>
  <cp:keywords/>
  <dc:description/>
  <cp:lastModifiedBy>Lydia Poteri</cp:lastModifiedBy>
  <cp:revision>43</cp:revision>
  <cp:lastPrinted>2025-08-07T05:04:00Z</cp:lastPrinted>
  <dcterms:created xsi:type="dcterms:W3CDTF">2025-12-16T01:54:00Z</dcterms:created>
  <dcterms:modified xsi:type="dcterms:W3CDTF">2025-12-22T05:23:00Z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0x01010053B45F5546C4134CA14404AADD0E4E4F</vt:lpwstr>
  </property>
  <property fmtid="{D5CDD505-2E9C-101B-9397-08002B2CF9AE}" pid="3" name="_dlc_DocIdItemGuid">
    <vt:lpwstr>9c81dd20-6ca7-4a48-b4a6-27f21d98cfa5</vt:lpwstr>
  </property>
  <property fmtid="{D5CDD505-2E9C-101B-9397-08002B2CF9AE}" pid="4" name="MediaServiceImageTags">
    <vt:lpwstr/>
  </property>
</Properties>
</file>