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987E" w14:textId="21462720" w:rsidR="003C632B" w:rsidRPr="003C632B" w:rsidRDefault="00277CCB" w:rsidP="003C632B">
      <w:pPr>
        <w:spacing w:before="120"/>
        <w:rPr>
          <w:rStyle w:val="UltraHeadingChar"/>
        </w:rPr>
      </w:pPr>
      <w:sdt>
        <w:sdtPr>
          <w:rPr>
            <w:rStyle w:val="UltraHeadingChar"/>
          </w:rPr>
          <w:alias w:val="Title"/>
          <w:id w:val="1429458839"/>
          <w:placeholder>
            <w:docPart w:val="DD62456B9CEB43F4A99E96AED49D11DE"/>
          </w:placeholder>
          <w:dataBinding w:prefixMappings="xmlns:ns0='http://purl.org/dc/elements/1.1/' xmlns:ns1='http://schemas.openxmlformats.org/package/2006/metadata/core-properties' " w:xpath="/ns1:coreProperties[1]/ns0:title[1]" w:storeItemID="{6C3C8BC8-F283-45AE-878A-BAB7291924A1}"/>
          <w:text/>
        </w:sdtPr>
        <w:sdtEndPr>
          <w:rPr>
            <w:rStyle w:val="UltraHeadingChar"/>
          </w:rPr>
        </w:sdtEndPr>
        <w:sdtContent>
          <w:r w:rsidR="003C632B" w:rsidRPr="003C632B">
            <w:rPr>
              <w:rStyle w:val="UltraHeadingChar"/>
            </w:rPr>
            <w:t>Scope of Services</w:t>
          </w:r>
        </w:sdtContent>
      </w:sdt>
    </w:p>
    <w:p w14:paraId="10890A2B" w14:textId="7D280AF3" w:rsidR="003C632B" w:rsidRPr="003C632B" w:rsidRDefault="00277CCB" w:rsidP="003C632B">
      <w:pPr>
        <w:spacing w:before="120"/>
        <w:rPr>
          <w:rStyle w:val="Heading1Char"/>
        </w:rPr>
      </w:pPr>
      <w:sdt>
        <w:sdtPr>
          <w:rPr>
            <w:rStyle w:val="Heading1Char"/>
          </w:rPr>
          <w:alias w:val="Subject"/>
          <w:id w:val="1066618773"/>
          <w:placeholder>
            <w:docPart w:val="E1B1F677563D43938B107E74EB83C434"/>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5C577D">
            <w:rPr>
              <w:rStyle w:val="Heading1Char"/>
            </w:rPr>
            <w:t>Advisory Services – Financial and Commercial</w:t>
          </w:r>
        </w:sdtContent>
      </w:sdt>
    </w:p>
    <w:tbl>
      <w:tblPr>
        <w:tblStyle w:val="TableGrid1"/>
        <w:tblW w:w="0" w:type="auto"/>
        <w:tblInd w:w="0" w:type="dxa"/>
        <w:tblLook w:val="04A0" w:firstRow="1" w:lastRow="0" w:firstColumn="1" w:lastColumn="0" w:noHBand="0" w:noVBand="1"/>
      </w:tblPr>
      <w:tblGrid>
        <w:gridCol w:w="9628"/>
      </w:tblGrid>
      <w:tr w:rsidR="003C632B" w:rsidRPr="003C632B" w14:paraId="31FE4B04" w14:textId="77777777">
        <w:tc>
          <w:tcPr>
            <w:tcW w:w="9628" w:type="dxa"/>
            <w:tcBorders>
              <w:top w:val="single" w:sz="4" w:space="0" w:color="auto"/>
              <w:left w:val="single" w:sz="4" w:space="0" w:color="auto"/>
              <w:bottom w:val="single" w:sz="4" w:space="0" w:color="auto"/>
              <w:right w:val="single" w:sz="4" w:space="0" w:color="auto"/>
            </w:tcBorders>
          </w:tcPr>
          <w:p w14:paraId="2A561AEE" w14:textId="4F21B5C3" w:rsidR="00277CCB" w:rsidRDefault="00277CCB" w:rsidP="003C632B">
            <w:pPr>
              <w:spacing w:before="120"/>
              <w:rPr>
                <w:rFonts w:eastAsia="Arial" w:cs="Noto Sans"/>
                <w:b/>
              </w:rPr>
            </w:pPr>
            <w:r w:rsidRPr="003C632B">
              <w:rPr>
                <w:rFonts w:eastAsia="Arial" w:cs="Noto Sans"/>
                <w:b/>
              </w:rPr>
              <w:t xml:space="preserve">Instructions for using this document </w:t>
            </w:r>
          </w:p>
          <w:p w14:paraId="69243D3B" w14:textId="61E952FE" w:rsidR="003C632B" w:rsidRPr="003C632B" w:rsidRDefault="00277CCB" w:rsidP="003C632B">
            <w:pPr>
              <w:spacing w:before="120"/>
              <w:rPr>
                <w:rFonts w:eastAsia="Arial" w:cs="Noto Sans"/>
                <w:b/>
              </w:rPr>
            </w:pPr>
            <w:r w:rsidRPr="003C632B">
              <w:rPr>
                <w:rFonts w:eastAsia="Arial" w:cs="Noto Sans"/>
                <w:b/>
                <w:highlight w:val="cyan"/>
              </w:rPr>
              <w:t>(</w:t>
            </w:r>
            <w:r>
              <w:rPr>
                <w:rFonts w:eastAsia="Arial" w:cs="Noto Sans"/>
                <w:b/>
                <w:highlight w:val="cyan"/>
              </w:rPr>
              <w:t>T</w:t>
            </w:r>
            <w:r w:rsidRPr="003C632B">
              <w:rPr>
                <w:rFonts w:eastAsia="Arial" w:cs="Noto Sans"/>
                <w:b/>
                <w:highlight w:val="cyan"/>
              </w:rPr>
              <w:t>his entire instructions box is to be deleted before sending to potential suppliers):</w:t>
            </w:r>
            <w:r w:rsidR="003C632B" w:rsidRPr="003C632B">
              <w:rPr>
                <w:rFonts w:eastAsia="Arial" w:cs="Noto Sans"/>
                <w:b/>
              </w:rPr>
              <w:t xml:space="preserve"> </w:t>
            </w:r>
          </w:p>
          <w:p w14:paraId="2E4DF2DA" w14:textId="77777777" w:rsidR="003C632B" w:rsidRPr="00EC52A1" w:rsidRDefault="003C632B" w:rsidP="00EC52A1">
            <w:pPr>
              <w:pStyle w:val="ListParagraph"/>
              <w:numPr>
                <w:ilvl w:val="0"/>
                <w:numId w:val="29"/>
              </w:numPr>
              <w:tabs>
                <w:tab w:val="num" w:pos="284"/>
              </w:tabs>
              <w:spacing w:before="120" w:line="264" w:lineRule="auto"/>
              <w:rPr>
                <w:rFonts w:eastAsia="Arial" w:cs="Noto Sans"/>
              </w:rPr>
            </w:pPr>
            <w:r w:rsidRPr="00EC52A1">
              <w:rPr>
                <w:rFonts w:eastAsia="Arial" w:cs="Noto Sans"/>
              </w:rPr>
              <w:t xml:space="preserve">This is the standard Scope of Services for an Invitation to Offer (ITO) for the procurement Financial and Commercial Advisory Services. </w:t>
            </w:r>
          </w:p>
          <w:p w14:paraId="7F6A56AE" w14:textId="77777777" w:rsidR="003C632B" w:rsidRPr="00EC52A1" w:rsidRDefault="003C632B" w:rsidP="00EC52A1">
            <w:pPr>
              <w:pStyle w:val="ListParagraph"/>
              <w:numPr>
                <w:ilvl w:val="0"/>
                <w:numId w:val="29"/>
              </w:numPr>
              <w:tabs>
                <w:tab w:val="num" w:pos="284"/>
              </w:tabs>
              <w:spacing w:before="120" w:line="264" w:lineRule="auto"/>
              <w:rPr>
                <w:rFonts w:eastAsia="Arial" w:cs="Noto Sans"/>
              </w:rPr>
            </w:pPr>
            <w:r w:rsidRPr="00EC52A1">
              <w:rPr>
                <w:rFonts w:eastAsia="Arial" w:cs="Noto Sans"/>
              </w:rPr>
              <w:t xml:space="preserve">Edit all </w:t>
            </w:r>
            <w:r w:rsidRPr="00EC52A1">
              <w:rPr>
                <w:rFonts w:eastAsia="Arial" w:cs="Noto Sans"/>
                <w:highlight w:val="yellow"/>
              </w:rPr>
              <w:t>&lt;&lt;yellow highlighted&gt;&gt;</w:t>
            </w:r>
            <w:r w:rsidRPr="00EC52A1">
              <w:rPr>
                <w:rFonts w:eastAsia="Arial" w:cs="Noto Sans"/>
              </w:rPr>
              <w:t xml:space="preserve"> sections with relevant details of your agency’s requirements and remove all highlighting when complete.</w:t>
            </w:r>
          </w:p>
          <w:p w14:paraId="2D8C47F9" w14:textId="77777777" w:rsidR="003C632B" w:rsidRPr="00EC52A1" w:rsidRDefault="003C632B" w:rsidP="00EC52A1">
            <w:pPr>
              <w:pStyle w:val="ListParagraph"/>
              <w:numPr>
                <w:ilvl w:val="0"/>
                <w:numId w:val="29"/>
              </w:numPr>
              <w:tabs>
                <w:tab w:val="num" w:pos="284"/>
              </w:tabs>
              <w:spacing w:before="120" w:line="264" w:lineRule="auto"/>
              <w:rPr>
                <w:rFonts w:eastAsia="Arial" w:cs="Noto Sans"/>
              </w:rPr>
            </w:pPr>
            <w:r w:rsidRPr="00EC52A1">
              <w:rPr>
                <w:rFonts w:eastAsia="Arial" w:cs="Noto Sans"/>
              </w:rPr>
              <w:t xml:space="preserve">Delete all </w:t>
            </w:r>
            <w:r w:rsidRPr="00EC52A1">
              <w:rPr>
                <w:rFonts w:eastAsia="Arial" w:cs="Noto Sans"/>
                <w:highlight w:val="cyan"/>
              </w:rPr>
              <w:t xml:space="preserve">cyan highlighted text </w:t>
            </w:r>
            <w:r w:rsidRPr="00EC52A1">
              <w:rPr>
                <w:rFonts w:eastAsia="Arial" w:cs="Noto Sans"/>
              </w:rPr>
              <w:t>and references to Drafting Notes before issuing to potential Suppliers.</w:t>
            </w:r>
          </w:p>
          <w:p w14:paraId="79B1F18C" w14:textId="77777777" w:rsidR="003C632B" w:rsidRPr="00EC52A1" w:rsidRDefault="003C632B" w:rsidP="00EC52A1">
            <w:pPr>
              <w:pStyle w:val="ListParagraph"/>
              <w:numPr>
                <w:ilvl w:val="0"/>
                <w:numId w:val="29"/>
              </w:numPr>
              <w:tabs>
                <w:tab w:val="num" w:pos="284"/>
              </w:tabs>
              <w:spacing w:before="120" w:line="264" w:lineRule="auto"/>
              <w:rPr>
                <w:rFonts w:eastAsia="Arial" w:cs="Noto Sans"/>
              </w:rPr>
            </w:pPr>
            <w:r w:rsidRPr="00EC52A1">
              <w:rPr>
                <w:rFonts w:eastAsia="Arial" w:cs="Noto Sans"/>
              </w:rPr>
              <w:t>The Scope of Services is an attachment to the ITO cover sheet</w:t>
            </w:r>
            <w:r w:rsidRPr="00EC52A1">
              <w:rPr>
                <w:rFonts w:eastAsia="Arial" w:cs="Noto Sans"/>
                <w:b/>
              </w:rPr>
              <w:t xml:space="preserve"> </w:t>
            </w:r>
            <w:r w:rsidRPr="00EC52A1">
              <w:rPr>
                <w:rFonts w:eastAsia="Arial" w:cs="Noto Sans"/>
                <w:bCs/>
              </w:rPr>
              <w:t>which includes generic information about the proposal (background, announcements, status of the proposal etc.) and ITO process information (closing dates, clarification process, evaluation criteria).</w:t>
            </w:r>
            <w:r w:rsidRPr="00EC52A1">
              <w:rPr>
                <w:rFonts w:eastAsia="Arial" w:cs="Noto Sans"/>
                <w:b/>
              </w:rPr>
              <w:t xml:space="preserve"> </w:t>
            </w:r>
          </w:p>
          <w:p w14:paraId="3A8C7CC0" w14:textId="77777777" w:rsidR="003C632B" w:rsidRPr="00EC52A1" w:rsidRDefault="003C632B" w:rsidP="00EC52A1">
            <w:pPr>
              <w:pStyle w:val="ListParagraph"/>
              <w:numPr>
                <w:ilvl w:val="0"/>
                <w:numId w:val="29"/>
              </w:numPr>
              <w:tabs>
                <w:tab w:val="num" w:pos="284"/>
              </w:tabs>
              <w:spacing w:before="120" w:line="264" w:lineRule="auto"/>
              <w:rPr>
                <w:rFonts w:eastAsia="Arial" w:cs="Noto Sans"/>
              </w:rPr>
            </w:pPr>
            <w:r w:rsidRPr="00EC52A1">
              <w:rPr>
                <w:rFonts w:eastAsia="Arial" w:cs="Noto Sans"/>
              </w:rPr>
              <w:t xml:space="preserve">This Scope of Services should only include information related to the </w:t>
            </w:r>
            <w:r w:rsidRPr="00EC52A1">
              <w:rPr>
                <w:rFonts w:eastAsia="Arial" w:cs="Noto Sans"/>
                <w:b/>
                <w:bCs/>
              </w:rPr>
              <w:t>Financial and Commercial Advisory Services</w:t>
            </w:r>
            <w:r w:rsidRPr="00EC52A1">
              <w:rPr>
                <w:rFonts w:eastAsia="Arial" w:cs="Noto Sans"/>
              </w:rPr>
              <w:t xml:space="preserve"> role requirements in delivering the business case and not repeat information in the ITO cover sheet (see separate template).</w:t>
            </w:r>
          </w:p>
          <w:p w14:paraId="5706BBF2" w14:textId="33BE4D01" w:rsidR="003C632B" w:rsidRPr="00A25C20" w:rsidRDefault="003C632B" w:rsidP="00A25C20">
            <w:pPr>
              <w:pStyle w:val="ListParagraph"/>
              <w:numPr>
                <w:ilvl w:val="0"/>
                <w:numId w:val="29"/>
              </w:numPr>
              <w:tabs>
                <w:tab w:val="num" w:pos="284"/>
              </w:tabs>
              <w:spacing w:before="120" w:line="264" w:lineRule="auto"/>
              <w:rPr>
                <w:rFonts w:eastAsia="Arial" w:cs="Noto Sans"/>
              </w:rPr>
            </w:pPr>
            <w:r w:rsidRPr="00EC52A1">
              <w:rPr>
                <w:rFonts w:eastAsia="Arial" w:cs="Noto Sans"/>
              </w:rPr>
              <w:t>Consideration should be given to providing any additional information that may assist potential Suppliers in responding to this ITO. Providing greater detail creates certainty of requirements and less perceived risk for Suppliers. This means that Suppliers won’t need to factor in perceived risks in their offer price and allows greater opportunity for better value for money offers.</w:t>
            </w:r>
          </w:p>
          <w:p w14:paraId="3865154C" w14:textId="77777777" w:rsidR="003C632B" w:rsidRPr="003C632B" w:rsidRDefault="003C632B" w:rsidP="003C632B">
            <w:pPr>
              <w:tabs>
                <w:tab w:val="left" w:pos="1134"/>
              </w:tabs>
              <w:spacing w:before="240"/>
              <w:outlineLvl w:val="3"/>
              <w:rPr>
                <w:rFonts w:eastAsia="Times New Roman" w:cs="Noto Sans"/>
                <w:bCs/>
                <w:iCs/>
                <w:sz w:val="28"/>
                <w:szCs w:val="24"/>
              </w:rPr>
            </w:pPr>
            <w:r w:rsidRPr="003C632B">
              <w:rPr>
                <w:rFonts w:eastAsia="Times New Roman" w:cs="Noto Sans"/>
                <w:bCs/>
                <w:iCs/>
                <w:sz w:val="28"/>
                <w:szCs w:val="24"/>
              </w:rPr>
              <w:t>Creative Commons licence</w:t>
            </w:r>
          </w:p>
          <w:p w14:paraId="18EECB0B" w14:textId="77777777" w:rsidR="003C632B" w:rsidRPr="003C632B" w:rsidRDefault="003C632B" w:rsidP="003C632B">
            <w:pPr>
              <w:spacing w:after="0"/>
              <w:contextualSpacing/>
              <w:rPr>
                <w:rFonts w:eastAsia="Arial" w:cs="Noto Sans"/>
                <w:sz w:val="16"/>
              </w:rPr>
            </w:pPr>
            <w:r w:rsidRPr="003C632B">
              <w:rPr>
                <w:rFonts w:eastAsia="Arial" w:cs="Noto Sans"/>
                <w:noProof/>
              </w:rPr>
              <w:drawing>
                <wp:anchor distT="0" distB="0" distL="114300" distR="114300" simplePos="0" relativeHeight="251658240" behindDoc="0" locked="0" layoutInCell="1" allowOverlap="1" wp14:anchorId="59F34557" wp14:editId="64B7F51E">
                  <wp:simplePos x="0" y="0"/>
                  <wp:positionH relativeFrom="column">
                    <wp:posOffset>1905</wp:posOffset>
                  </wp:positionH>
                  <wp:positionV relativeFrom="paragraph">
                    <wp:posOffset>5080</wp:posOffset>
                  </wp:positionV>
                  <wp:extent cx="956945" cy="337185"/>
                  <wp:effectExtent l="0" t="0" r="0" b="5715"/>
                  <wp:wrapSquare wrapText="bothSides"/>
                  <wp:docPr id="3"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3C632B">
              <w:rPr>
                <w:rFonts w:eastAsia="Arial" w:cs="Noto Sans"/>
                <w:sz w:val="16"/>
              </w:rPr>
              <w:t>This work is made available under the Creative Commons CC0 1.0 Universal Public Domain Dedication. The person who associated a work with this deed has waived all copyright and related or neighbouring rights to the work to the fullest extent possible under law</w:t>
            </w:r>
          </w:p>
          <w:p w14:paraId="1BF034F2" w14:textId="77777777" w:rsidR="003C632B" w:rsidRPr="003C632B" w:rsidRDefault="003C632B" w:rsidP="003C632B">
            <w:pPr>
              <w:spacing w:after="0"/>
              <w:contextualSpacing/>
              <w:rPr>
                <w:rFonts w:eastAsia="Arial" w:cs="Noto Sans"/>
                <w:sz w:val="16"/>
              </w:rPr>
            </w:pPr>
          </w:p>
          <w:p w14:paraId="692BFA7C" w14:textId="77777777" w:rsidR="003C632B" w:rsidRPr="003C632B" w:rsidRDefault="003C632B" w:rsidP="003C632B">
            <w:pPr>
              <w:spacing w:after="0"/>
              <w:contextualSpacing/>
              <w:rPr>
                <w:rFonts w:ascii="Arial" w:eastAsia="Arial" w:hAnsi="Arial"/>
                <w:sz w:val="16"/>
              </w:rPr>
            </w:pPr>
            <w:r w:rsidRPr="003C632B">
              <w:rPr>
                <w:rFonts w:eastAsia="Arial" w:cs="Noto Sans"/>
                <w:sz w:val="16"/>
              </w:rPr>
              <w:t>Third party material that is not licensed under a Creative Commons licence is referenced within this document. All content not licensed under a Creative Commons licence is all rights reserved. Please contact the copyright owner if you wish to use this material</w:t>
            </w:r>
            <w:r w:rsidRPr="003C632B">
              <w:rPr>
                <w:rFonts w:ascii="Arial" w:eastAsia="Arial" w:hAnsi="Arial"/>
                <w:sz w:val="16"/>
              </w:rPr>
              <w:t>.</w:t>
            </w:r>
          </w:p>
          <w:p w14:paraId="57354754" w14:textId="77777777" w:rsidR="003C632B" w:rsidRPr="003C632B" w:rsidRDefault="003C632B" w:rsidP="003C632B">
            <w:pPr>
              <w:spacing w:after="0"/>
              <w:contextualSpacing/>
              <w:rPr>
                <w:rFonts w:ascii="Arial" w:eastAsia="Arial" w:hAnsi="Arial"/>
                <w:sz w:val="16"/>
              </w:rPr>
            </w:pPr>
          </w:p>
        </w:tc>
      </w:tr>
    </w:tbl>
    <w:p w14:paraId="6CB56CB8" w14:textId="77777777" w:rsidR="00A25C20" w:rsidRDefault="00A25C20" w:rsidP="00EC52A1"/>
    <w:p w14:paraId="0390A8B5" w14:textId="3CD1619E" w:rsidR="003C632B" w:rsidRPr="003C632B" w:rsidRDefault="003C632B" w:rsidP="00C324A9">
      <w:pPr>
        <w:pStyle w:val="Heading1"/>
        <w:widowControl/>
        <w:numPr>
          <w:ilvl w:val="0"/>
          <w:numId w:val="34"/>
        </w:numPr>
      </w:pPr>
      <w:r w:rsidRPr="003C632B">
        <w:t>Purpose</w:t>
      </w:r>
    </w:p>
    <w:p w14:paraId="5FA4C978" w14:textId="0A62781A" w:rsidR="003C632B" w:rsidRDefault="003C632B" w:rsidP="00C324A9">
      <w:pPr>
        <w:keepNext/>
        <w:spacing w:before="120"/>
        <w:rPr>
          <w:rFonts w:eastAsia="Arial" w:cs="Noto Sans"/>
          <w:szCs w:val="18"/>
        </w:rPr>
      </w:pPr>
      <w:r w:rsidRPr="003C632B">
        <w:rPr>
          <w:rFonts w:eastAsia="Arial" w:cs="Noto Sans"/>
          <w:szCs w:val="18"/>
        </w:rPr>
        <w:t xml:space="preserve">This Scope of Services for </w:t>
      </w:r>
      <w:r w:rsidRPr="003C632B">
        <w:rPr>
          <w:rFonts w:eastAsia="Arial" w:cs="Noto Sans"/>
          <w:szCs w:val="18"/>
          <w:highlight w:val="yellow"/>
        </w:rPr>
        <w:t>Financial and Commercial</w:t>
      </w:r>
      <w:r w:rsidRPr="003C632B">
        <w:rPr>
          <w:rFonts w:eastAsia="Arial" w:cs="Noto Sans"/>
          <w:szCs w:val="18"/>
        </w:rPr>
        <w:t xml:space="preserve"> Advisory services provide specific requirements for the engagement and should be read in conjunction with the other Invitation to Offer (ITO) documentation to guide the preparation of tender proposals. </w:t>
      </w:r>
    </w:p>
    <w:p w14:paraId="4659BA4E" w14:textId="77777777" w:rsidR="00EC52A1" w:rsidRPr="003C632B" w:rsidRDefault="00EC52A1" w:rsidP="003C632B">
      <w:pPr>
        <w:spacing w:before="120"/>
        <w:rPr>
          <w:rFonts w:eastAsia="Arial" w:cs="Noto Sans"/>
          <w:szCs w:val="18"/>
        </w:rPr>
      </w:pPr>
    </w:p>
    <w:p w14:paraId="4FD1F6C1" w14:textId="4759F24B" w:rsidR="003C632B" w:rsidRPr="003C632B" w:rsidRDefault="003C632B" w:rsidP="00330638">
      <w:pPr>
        <w:pStyle w:val="Heading1"/>
        <w:widowControl/>
        <w:numPr>
          <w:ilvl w:val="0"/>
          <w:numId w:val="35"/>
        </w:numPr>
      </w:pPr>
      <w:r w:rsidRPr="003C632B">
        <w:lastRenderedPageBreak/>
        <w:t xml:space="preserve">Scope of </w:t>
      </w:r>
      <w:r w:rsidRPr="00400BF0">
        <w:t>Services</w:t>
      </w:r>
    </w:p>
    <w:p w14:paraId="44F4351C" w14:textId="6A85065D" w:rsidR="003C632B" w:rsidRPr="003C632B" w:rsidRDefault="003C632B" w:rsidP="00330638">
      <w:pPr>
        <w:pStyle w:val="Heading2"/>
        <w:numPr>
          <w:ilvl w:val="1"/>
          <w:numId w:val="35"/>
        </w:numPr>
      </w:pPr>
      <w:r w:rsidRPr="00400BF0">
        <w:t>Introduction</w:t>
      </w:r>
    </w:p>
    <w:p w14:paraId="67A65BB2" w14:textId="7C312B58" w:rsidR="003C632B" w:rsidRPr="003C632B" w:rsidRDefault="003C632B" w:rsidP="003C632B">
      <w:pPr>
        <w:spacing w:before="120"/>
        <w:rPr>
          <w:rFonts w:eastAsia="Arial" w:cs="Noto Sans"/>
          <w:szCs w:val="18"/>
        </w:rPr>
      </w:pPr>
      <w:r w:rsidRPr="003C632B">
        <w:rPr>
          <w:rFonts w:eastAsia="Arial" w:cs="Noto Sans"/>
          <w:szCs w:val="18"/>
        </w:rPr>
        <w:t xml:space="preserve">The </w:t>
      </w:r>
      <w:r w:rsidRPr="003C632B">
        <w:rPr>
          <w:rFonts w:eastAsia="Arial" w:cs="Noto Sans"/>
          <w:szCs w:val="18"/>
          <w:highlight w:val="yellow"/>
        </w:rPr>
        <w:t>Financial and Commercial</w:t>
      </w:r>
      <w:r w:rsidRPr="003C632B">
        <w:rPr>
          <w:rFonts w:eastAsia="Arial" w:cs="Noto Sans"/>
          <w:szCs w:val="18"/>
        </w:rPr>
        <w:t xml:space="preserve"> Advisory services will work in collaboration with </w:t>
      </w:r>
      <w:r w:rsidRPr="003C632B">
        <w:rPr>
          <w:rFonts w:eastAsia="Arial" w:cs="Noto Sans"/>
          <w:szCs w:val="18"/>
          <w:highlight w:val="yellow"/>
        </w:rPr>
        <w:t>&lt;&lt;Agency Name&gt;&gt;</w:t>
      </w:r>
      <w:r w:rsidRPr="003C632B">
        <w:rPr>
          <w:rFonts w:eastAsia="Arial" w:cs="Noto Sans"/>
          <w:szCs w:val="18"/>
        </w:rPr>
        <w:t xml:space="preserve"> in the development of the business case in accordance with the Business Case Development Framework (BCDF) (see </w:t>
      </w:r>
      <w:hyperlink r:id="rId12" w:history="1">
        <w:r w:rsidRPr="003C632B">
          <w:rPr>
            <w:rFonts w:eastAsia="Arial" w:cs="Noto Sans"/>
            <w:szCs w:val="18"/>
            <w:u w:val="single"/>
          </w:rPr>
          <w:t>Infrastructure | State Development and Infrastructure</w:t>
        </w:r>
      </w:hyperlink>
      <w:r w:rsidRPr="003C632B">
        <w:rPr>
          <w:rFonts w:eastAsia="Arial" w:cs="Noto Sans"/>
          <w:szCs w:val="18"/>
        </w:rPr>
        <w:t xml:space="preserve"> for more details) </w:t>
      </w:r>
      <w:r w:rsidRPr="003C632B">
        <w:rPr>
          <w:rFonts w:eastAsia="Arial" w:cs="Noto Sans"/>
          <w:szCs w:val="18"/>
          <w:highlight w:val="yellow"/>
        </w:rPr>
        <w:t xml:space="preserve">and </w:t>
      </w:r>
      <w:hyperlink r:id="rId13" w:history="1">
        <w:r w:rsidRPr="003C632B">
          <w:rPr>
            <w:rFonts w:eastAsia="Arial" w:cs="Noto Sans"/>
            <w:szCs w:val="18"/>
            <w:highlight w:val="yellow"/>
            <w:u w:val="single"/>
          </w:rPr>
          <w:t>Infrastructure Australia’s Assessment Framework</w:t>
        </w:r>
      </w:hyperlink>
      <w:r w:rsidRPr="003C632B">
        <w:rPr>
          <w:rFonts w:eastAsia="Arial" w:cs="Noto Sans"/>
          <w:szCs w:val="18"/>
          <w:highlight w:val="yellow"/>
        </w:rPr>
        <w:t xml:space="preserve"> </w:t>
      </w:r>
      <w:r w:rsidRPr="003C632B">
        <w:rPr>
          <w:rFonts w:eastAsia="Arial" w:cs="Noto Sans"/>
          <w:szCs w:val="18"/>
          <w:highlight w:val="cyan"/>
        </w:rPr>
        <w:t>(only for projects that will be submitted to Infrastructure Australia e.g. major roads).</w:t>
      </w:r>
    </w:p>
    <w:p w14:paraId="7418A469" w14:textId="77777777" w:rsidR="003C632B" w:rsidRPr="003C632B" w:rsidRDefault="003C632B" w:rsidP="00330638">
      <w:pPr>
        <w:pStyle w:val="Heading2"/>
        <w:numPr>
          <w:ilvl w:val="1"/>
          <w:numId w:val="35"/>
        </w:numPr>
      </w:pPr>
      <w:r w:rsidRPr="003C632B">
        <w:t>Background</w:t>
      </w:r>
    </w:p>
    <w:p w14:paraId="70684DCC" w14:textId="77777777" w:rsidR="003C632B" w:rsidRPr="003C632B" w:rsidRDefault="003C632B" w:rsidP="00330638">
      <w:pPr>
        <w:keepNext/>
        <w:spacing w:before="120"/>
        <w:ind w:right="113"/>
        <w:rPr>
          <w:rFonts w:eastAsia="Arial" w:cs="Noto Sans"/>
          <w:szCs w:val="18"/>
          <w:highlight w:val="cyan"/>
        </w:rPr>
      </w:pPr>
      <w:r w:rsidRPr="003C632B">
        <w:rPr>
          <w:rFonts w:eastAsia="Arial" w:cs="Noto Sans"/>
          <w:szCs w:val="18"/>
          <w:highlight w:val="cyan"/>
        </w:rPr>
        <w:t>&lt;&lt;Outline background of the project and detail its scope to ensure the accurate formulation of relevant quotations).&gt;&gt;</w:t>
      </w:r>
    </w:p>
    <w:p w14:paraId="6C7D7C79" w14:textId="11EF231C" w:rsidR="003C632B" w:rsidRPr="003C632B" w:rsidRDefault="003C632B" w:rsidP="00330638">
      <w:pPr>
        <w:pStyle w:val="Heading2"/>
        <w:numPr>
          <w:ilvl w:val="1"/>
          <w:numId w:val="35"/>
        </w:numPr>
      </w:pPr>
      <w:r w:rsidRPr="003C632B">
        <w:t xml:space="preserve">Previous </w:t>
      </w:r>
      <w:r w:rsidR="00A833B9">
        <w:t>a</w:t>
      </w:r>
      <w:r w:rsidRPr="003C632B">
        <w:t>nalysis</w:t>
      </w:r>
    </w:p>
    <w:p w14:paraId="251D276B" w14:textId="77777777" w:rsidR="003C632B" w:rsidRPr="003C632B" w:rsidRDefault="003C632B" w:rsidP="00330638">
      <w:pPr>
        <w:keepNext/>
        <w:spacing w:before="120"/>
        <w:ind w:right="113"/>
        <w:rPr>
          <w:rFonts w:eastAsia="Arial" w:cs="Noto Sans"/>
          <w:szCs w:val="18"/>
        </w:rPr>
      </w:pPr>
      <w:r w:rsidRPr="003C632B">
        <w:rPr>
          <w:rFonts w:eastAsia="Arial" w:cs="Noto Sans"/>
          <w:szCs w:val="18"/>
          <w:highlight w:val="cyan"/>
        </w:rPr>
        <w:t>&lt;&lt;Outline any previous analysis undertaken for the project (strategic analysis, options analysis, broader planning/studies and relevant financial/commercial analysis).&gt;&gt;</w:t>
      </w:r>
    </w:p>
    <w:p w14:paraId="6A7DF847" w14:textId="49AFC21B" w:rsidR="003C632B" w:rsidRPr="003C632B" w:rsidRDefault="003C632B" w:rsidP="00330638">
      <w:pPr>
        <w:pStyle w:val="Heading1"/>
        <w:widowControl/>
        <w:numPr>
          <w:ilvl w:val="0"/>
          <w:numId w:val="35"/>
        </w:numPr>
      </w:pPr>
      <w:r w:rsidRPr="003C632B">
        <w:t xml:space="preserve">Key </w:t>
      </w:r>
      <w:r w:rsidR="00A833B9">
        <w:t>a</w:t>
      </w:r>
      <w:r w:rsidRPr="003C632B">
        <w:t xml:space="preserve">ctivities and </w:t>
      </w:r>
      <w:r w:rsidR="00A833B9">
        <w:t>d</w:t>
      </w:r>
      <w:r w:rsidRPr="003C632B">
        <w:t>eliverables</w:t>
      </w:r>
    </w:p>
    <w:p w14:paraId="7DAAB5C6" w14:textId="41584067" w:rsidR="003C632B" w:rsidRPr="003C632B" w:rsidRDefault="003C632B" w:rsidP="00330638">
      <w:pPr>
        <w:keepNext/>
        <w:spacing w:before="120"/>
        <w:rPr>
          <w:rFonts w:eastAsia="Arial" w:cs="Noto Sans"/>
          <w:szCs w:val="18"/>
        </w:rPr>
      </w:pPr>
      <w:r w:rsidRPr="003C632B">
        <w:rPr>
          <w:rFonts w:eastAsia="Arial" w:cs="Noto Sans"/>
          <w:szCs w:val="18"/>
        </w:rPr>
        <w:fldChar w:fldCharType="begin"/>
      </w:r>
      <w:r w:rsidRPr="003C632B">
        <w:rPr>
          <w:rFonts w:eastAsia="Arial" w:cs="Noto Sans"/>
          <w:szCs w:val="18"/>
        </w:rPr>
        <w:instrText xml:space="preserve"> REF _Ref76383986 \h </w:instrText>
      </w:r>
      <w:r w:rsidR="00EC52A1" w:rsidRPr="00EC52A1">
        <w:rPr>
          <w:rFonts w:eastAsia="Arial" w:cs="Noto Sans"/>
          <w:szCs w:val="18"/>
        </w:rPr>
        <w:instrText xml:space="preserve"> \* MERGEFORMAT </w:instrText>
      </w:r>
      <w:r w:rsidRPr="003C632B">
        <w:rPr>
          <w:rFonts w:eastAsia="Arial" w:cs="Noto Sans"/>
          <w:szCs w:val="18"/>
        </w:rPr>
      </w:r>
      <w:r w:rsidRPr="003C632B">
        <w:rPr>
          <w:rFonts w:eastAsia="Arial" w:cs="Noto Sans"/>
          <w:szCs w:val="18"/>
        </w:rPr>
        <w:fldChar w:fldCharType="separate"/>
      </w:r>
      <w:r w:rsidRPr="003C632B">
        <w:rPr>
          <w:rFonts w:eastAsia="Arial" w:cs="Noto Sans"/>
          <w:szCs w:val="18"/>
        </w:rPr>
        <w:t xml:space="preserve">Table </w:t>
      </w:r>
      <w:r w:rsidRPr="003C632B">
        <w:rPr>
          <w:rFonts w:eastAsia="Arial" w:cs="Noto Sans"/>
          <w:noProof/>
          <w:szCs w:val="18"/>
        </w:rPr>
        <w:t>1</w:t>
      </w:r>
      <w:r w:rsidRPr="003C632B">
        <w:rPr>
          <w:rFonts w:eastAsia="Arial" w:cs="Noto Sans"/>
          <w:szCs w:val="18"/>
        </w:rPr>
        <w:fldChar w:fldCharType="end"/>
      </w:r>
      <w:r w:rsidRPr="003C632B">
        <w:rPr>
          <w:rFonts w:eastAsia="Arial" w:cs="Noto Sans"/>
          <w:szCs w:val="18"/>
        </w:rPr>
        <w:t xml:space="preserve"> outlines the key activities and deliverables associated with the delivery phase of the detailed business case (DBC).</w:t>
      </w:r>
    </w:p>
    <w:p w14:paraId="190C620C" w14:textId="71AB90F9" w:rsidR="003C632B" w:rsidRPr="003C632B" w:rsidRDefault="003C632B" w:rsidP="00330638">
      <w:pPr>
        <w:keepNext/>
        <w:spacing w:before="120"/>
        <w:rPr>
          <w:rFonts w:eastAsia="Arial" w:cs="Noto Sans"/>
          <w:szCs w:val="18"/>
        </w:rPr>
      </w:pPr>
      <w:bookmarkStart w:id="0" w:name="_Hlk93387605"/>
      <w:bookmarkStart w:id="1" w:name="_Ref76121668"/>
      <w:bookmarkStart w:id="2" w:name="_Ref76378901"/>
      <w:r w:rsidRPr="003C632B">
        <w:rPr>
          <w:rFonts w:eastAsia="Arial" w:cs="Noto Sans"/>
          <w:szCs w:val="18"/>
        </w:rPr>
        <w:t xml:space="preserve">In responding, please present your plan on how you would approach the activities in </w:t>
      </w:r>
      <w:r w:rsidRPr="003C632B">
        <w:rPr>
          <w:rFonts w:eastAsia="Arial" w:cs="Noto Sans"/>
          <w:szCs w:val="18"/>
        </w:rPr>
        <w:fldChar w:fldCharType="begin"/>
      </w:r>
      <w:r w:rsidRPr="003C632B">
        <w:rPr>
          <w:rFonts w:eastAsia="Arial" w:cs="Noto Sans"/>
          <w:szCs w:val="18"/>
        </w:rPr>
        <w:instrText xml:space="preserve"> REF _Ref76383986 \h </w:instrText>
      </w:r>
      <w:r w:rsidR="00EC52A1" w:rsidRPr="00EC52A1">
        <w:rPr>
          <w:rFonts w:eastAsia="Arial" w:cs="Noto Sans"/>
          <w:szCs w:val="18"/>
        </w:rPr>
        <w:instrText xml:space="preserve"> \* MERGEFORMAT </w:instrText>
      </w:r>
      <w:r w:rsidRPr="003C632B">
        <w:rPr>
          <w:rFonts w:eastAsia="Arial" w:cs="Noto Sans"/>
          <w:szCs w:val="18"/>
        </w:rPr>
      </w:r>
      <w:r w:rsidRPr="003C632B">
        <w:rPr>
          <w:rFonts w:eastAsia="Arial" w:cs="Noto Sans"/>
          <w:szCs w:val="18"/>
        </w:rPr>
        <w:fldChar w:fldCharType="separate"/>
      </w:r>
      <w:r w:rsidRPr="003C632B">
        <w:rPr>
          <w:rFonts w:eastAsia="Arial" w:cs="Noto Sans"/>
          <w:szCs w:val="18"/>
        </w:rPr>
        <w:t xml:space="preserve">Table </w:t>
      </w:r>
      <w:r w:rsidRPr="003C632B">
        <w:rPr>
          <w:rFonts w:eastAsia="Arial" w:cs="Noto Sans"/>
          <w:noProof/>
          <w:szCs w:val="18"/>
        </w:rPr>
        <w:t>1</w:t>
      </w:r>
      <w:r w:rsidRPr="003C632B">
        <w:rPr>
          <w:rFonts w:eastAsia="Arial" w:cs="Noto Sans"/>
          <w:szCs w:val="18"/>
        </w:rPr>
        <w:fldChar w:fldCharType="end"/>
      </w:r>
      <w:r w:rsidRPr="003C632B">
        <w:rPr>
          <w:rFonts w:eastAsia="Arial" w:cs="Noto Sans"/>
          <w:szCs w:val="18"/>
        </w:rPr>
        <w:t xml:space="preserve">, tailoring the response to what is known about the proposal and considering how you would build upon any previous analysis. </w:t>
      </w:r>
    </w:p>
    <w:p w14:paraId="0B1A163E" w14:textId="77777777" w:rsidR="003C632B" w:rsidRPr="003C632B" w:rsidRDefault="003C632B" w:rsidP="00330638">
      <w:pPr>
        <w:keepNext/>
        <w:spacing w:before="120"/>
        <w:rPr>
          <w:rFonts w:eastAsia="Arial" w:cs="Noto Sans"/>
          <w:szCs w:val="18"/>
        </w:rPr>
      </w:pPr>
      <w:r w:rsidRPr="003C632B">
        <w:rPr>
          <w:rFonts w:eastAsia="Arial" w:cs="Noto Sans"/>
          <w:szCs w:val="18"/>
        </w:rPr>
        <w:t xml:space="preserve">Clearly articulate the purpose of the analysis and outcomes with respect to the investment decision, including how the analysis will be structured and evaluated. The likely implications for the investment decision are to be included in both the advisors report and financial model. </w:t>
      </w:r>
    </w:p>
    <w:p w14:paraId="02D3FEA0" w14:textId="77777777" w:rsidR="003C632B" w:rsidRPr="003C632B" w:rsidRDefault="003C632B" w:rsidP="00330638">
      <w:pPr>
        <w:keepNext/>
        <w:tabs>
          <w:tab w:val="left" w:pos="1418"/>
        </w:tabs>
        <w:spacing w:before="60" w:after="60"/>
        <w:ind w:left="1418" w:hanging="1418"/>
        <w:rPr>
          <w:rFonts w:eastAsia="Arial" w:cs="Noto Sans"/>
          <w:b/>
          <w:bCs/>
          <w:szCs w:val="18"/>
        </w:rPr>
      </w:pPr>
      <w:bookmarkStart w:id="3" w:name="_Ref76383986"/>
      <w:bookmarkEnd w:id="0"/>
      <w:r w:rsidRPr="003C632B">
        <w:rPr>
          <w:rFonts w:eastAsia="Arial" w:cs="Noto Sans"/>
          <w:b/>
          <w:bCs/>
          <w:szCs w:val="18"/>
        </w:rPr>
        <w:t xml:space="preserve">Table </w:t>
      </w:r>
      <w:r w:rsidRPr="003C632B">
        <w:rPr>
          <w:rFonts w:eastAsia="Arial" w:cs="Noto Sans"/>
          <w:b/>
          <w:bCs/>
          <w:szCs w:val="18"/>
        </w:rPr>
        <w:fldChar w:fldCharType="begin"/>
      </w:r>
      <w:r w:rsidRPr="003C632B">
        <w:rPr>
          <w:rFonts w:eastAsia="Arial" w:cs="Noto Sans"/>
          <w:b/>
          <w:bCs/>
          <w:szCs w:val="18"/>
        </w:rPr>
        <w:instrText xml:space="preserve"> SEQ Table \* ARABIC </w:instrText>
      </w:r>
      <w:r w:rsidRPr="003C632B">
        <w:rPr>
          <w:rFonts w:eastAsia="Arial" w:cs="Noto Sans"/>
          <w:b/>
          <w:bCs/>
          <w:szCs w:val="18"/>
        </w:rPr>
        <w:fldChar w:fldCharType="separate"/>
      </w:r>
      <w:r w:rsidRPr="003C632B">
        <w:rPr>
          <w:rFonts w:eastAsia="Arial" w:cs="Noto Sans"/>
          <w:b/>
          <w:bCs/>
          <w:noProof/>
          <w:szCs w:val="18"/>
        </w:rPr>
        <w:t>1</w:t>
      </w:r>
      <w:r w:rsidRPr="003C632B">
        <w:rPr>
          <w:rFonts w:eastAsia="Arial" w:cs="Noto Sans"/>
          <w:b/>
          <w:bCs/>
          <w:szCs w:val="18"/>
        </w:rPr>
        <w:fldChar w:fldCharType="end"/>
      </w:r>
      <w:bookmarkEnd w:id="1"/>
      <w:bookmarkEnd w:id="3"/>
      <w:r w:rsidRPr="003C632B">
        <w:rPr>
          <w:rFonts w:eastAsia="Arial" w:cs="Noto Sans"/>
          <w:b/>
          <w:bCs/>
          <w:szCs w:val="18"/>
        </w:rPr>
        <w:t>: Delivery Phase Key Activities and Deliverables</w:t>
      </w:r>
      <w:bookmarkEnd w:id="2"/>
      <w:r w:rsidRPr="003C632B">
        <w:rPr>
          <w:rFonts w:eastAsia="Arial" w:cs="Noto Sans"/>
          <w:b/>
          <w:bCs/>
          <w:szCs w:val="18"/>
        </w:rPr>
        <w:t xml:space="preserve"> </w:t>
      </w:r>
    </w:p>
    <w:tbl>
      <w:tblPr>
        <w:tblStyle w:val="Table-QldBlue"/>
        <w:tblW w:w="5150" w:type="pct"/>
        <w:tblLayout w:type="fixed"/>
        <w:tblLook w:val="0620" w:firstRow="1" w:lastRow="0" w:firstColumn="0" w:lastColumn="0" w:noHBand="1" w:noVBand="1"/>
      </w:tblPr>
      <w:tblGrid>
        <w:gridCol w:w="2122"/>
        <w:gridCol w:w="5670"/>
        <w:gridCol w:w="3002"/>
      </w:tblGrid>
      <w:tr w:rsidR="00EC52A1" w:rsidRPr="003C632B" w14:paraId="2538F4E9" w14:textId="77777777" w:rsidTr="00F44AD3">
        <w:trPr>
          <w:cnfStyle w:val="100000000000" w:firstRow="1" w:lastRow="0" w:firstColumn="0" w:lastColumn="0" w:oddVBand="0" w:evenVBand="0" w:oddHBand="0" w:evenHBand="0" w:firstRowFirstColumn="0" w:firstRowLastColumn="0" w:lastRowFirstColumn="0" w:lastRowLastColumn="0"/>
          <w:tblHeader/>
        </w:trPr>
        <w:tc>
          <w:tcPr>
            <w:tcW w:w="2122" w:type="dxa"/>
            <w:hideMark/>
          </w:tcPr>
          <w:p w14:paraId="19DBF926" w14:textId="08E9EFBC" w:rsidR="003C632B" w:rsidRPr="003C632B" w:rsidRDefault="00211EB2" w:rsidP="003C632B">
            <w:pPr>
              <w:keepNext/>
              <w:keepLines/>
              <w:spacing w:before="80" w:after="80"/>
              <w:ind w:left="113" w:right="113"/>
              <w:rPr>
                <w:rFonts w:eastAsia="Arial" w:cs="Noto Sans"/>
                <w:bCs/>
                <w:caps/>
                <w:color w:val="FFFFFF" w:themeColor="background1"/>
                <w:szCs w:val="18"/>
              </w:rPr>
            </w:pPr>
            <w:r w:rsidRPr="003C632B">
              <w:rPr>
                <w:rFonts w:eastAsia="Arial" w:cs="Noto Sans"/>
                <w:bCs/>
                <w:color w:val="FFFFFF" w:themeColor="background1"/>
                <w:szCs w:val="18"/>
              </w:rPr>
              <w:t xml:space="preserve">Proposal </w:t>
            </w:r>
            <w:r w:rsidR="00A833B9">
              <w:rPr>
                <w:rFonts w:eastAsia="Arial" w:cs="Noto Sans"/>
                <w:bCs/>
                <w:color w:val="FFFFFF" w:themeColor="background1"/>
                <w:szCs w:val="18"/>
              </w:rPr>
              <w:t>d</w:t>
            </w:r>
            <w:r w:rsidRPr="003C632B">
              <w:rPr>
                <w:rFonts w:eastAsia="Arial" w:cs="Noto Sans"/>
                <w:bCs/>
                <w:color w:val="FFFFFF" w:themeColor="background1"/>
                <w:szCs w:val="18"/>
              </w:rPr>
              <w:t xml:space="preserve">evelopment </w:t>
            </w:r>
            <w:r w:rsidR="00A833B9">
              <w:rPr>
                <w:rFonts w:eastAsia="Arial" w:cs="Noto Sans"/>
                <w:bCs/>
                <w:color w:val="FFFFFF" w:themeColor="background1"/>
                <w:szCs w:val="18"/>
              </w:rPr>
              <w:t>p</w:t>
            </w:r>
            <w:r w:rsidRPr="003C632B">
              <w:rPr>
                <w:rFonts w:eastAsia="Arial" w:cs="Noto Sans"/>
                <w:bCs/>
                <w:color w:val="FFFFFF" w:themeColor="background1"/>
                <w:szCs w:val="18"/>
              </w:rPr>
              <w:t>hase</w:t>
            </w:r>
          </w:p>
        </w:tc>
        <w:tc>
          <w:tcPr>
            <w:tcW w:w="5670" w:type="dxa"/>
            <w:hideMark/>
          </w:tcPr>
          <w:p w14:paraId="26F1E30D" w14:textId="4C890019" w:rsidR="003C632B" w:rsidRPr="003C632B" w:rsidRDefault="00211EB2" w:rsidP="003C632B">
            <w:pPr>
              <w:keepNext/>
              <w:keepLines/>
              <w:spacing w:before="80" w:after="80"/>
              <w:ind w:left="113" w:right="113"/>
              <w:rPr>
                <w:rFonts w:eastAsia="Arial" w:cs="Noto Sans"/>
                <w:caps/>
                <w:color w:val="FFFFFF" w:themeColor="background1"/>
                <w:szCs w:val="18"/>
              </w:rPr>
            </w:pPr>
            <w:r w:rsidRPr="003C632B">
              <w:rPr>
                <w:rFonts w:eastAsia="Arial" w:cs="Noto Sans"/>
                <w:color w:val="FFFFFF" w:themeColor="background1"/>
                <w:szCs w:val="18"/>
              </w:rPr>
              <w:t xml:space="preserve">Key </w:t>
            </w:r>
            <w:r w:rsidR="00A833B9">
              <w:rPr>
                <w:rFonts w:eastAsia="Arial" w:cs="Noto Sans"/>
                <w:color w:val="FFFFFF" w:themeColor="background1"/>
                <w:szCs w:val="18"/>
              </w:rPr>
              <w:t>a</w:t>
            </w:r>
            <w:r w:rsidRPr="003C632B">
              <w:rPr>
                <w:rFonts w:eastAsia="Arial" w:cs="Noto Sans"/>
                <w:color w:val="FFFFFF" w:themeColor="background1"/>
                <w:szCs w:val="18"/>
              </w:rPr>
              <w:t>ctivities</w:t>
            </w:r>
          </w:p>
        </w:tc>
        <w:tc>
          <w:tcPr>
            <w:tcW w:w="3002" w:type="dxa"/>
            <w:hideMark/>
          </w:tcPr>
          <w:p w14:paraId="28A035B4" w14:textId="4FF1D4DC" w:rsidR="003C632B" w:rsidRPr="003C632B" w:rsidRDefault="00211EB2" w:rsidP="003C632B">
            <w:pPr>
              <w:keepNext/>
              <w:keepLines/>
              <w:spacing w:before="80" w:after="80"/>
              <w:ind w:left="113" w:right="113"/>
              <w:rPr>
                <w:rFonts w:eastAsia="Arial" w:cs="Noto Sans"/>
                <w:caps/>
                <w:color w:val="FFFFFF" w:themeColor="background1"/>
                <w:szCs w:val="18"/>
              </w:rPr>
            </w:pPr>
            <w:r w:rsidRPr="003C632B">
              <w:rPr>
                <w:rFonts w:eastAsia="Arial" w:cs="Noto Sans"/>
                <w:color w:val="FFFFFF" w:themeColor="background1"/>
                <w:szCs w:val="18"/>
              </w:rPr>
              <w:t>Deliverables</w:t>
            </w:r>
          </w:p>
        </w:tc>
      </w:tr>
      <w:tr w:rsidR="003C632B" w:rsidRPr="003C632B" w14:paraId="3D9B3172" w14:textId="77777777" w:rsidTr="00211EB2">
        <w:tc>
          <w:tcPr>
            <w:tcW w:w="2122" w:type="dxa"/>
            <w:shd w:val="clear" w:color="auto" w:fill="E7E6E6" w:themeFill="background2"/>
            <w:hideMark/>
          </w:tcPr>
          <w:p w14:paraId="1518632B" w14:textId="77777777" w:rsidR="003C632B" w:rsidRPr="003C632B" w:rsidRDefault="003C632B" w:rsidP="003C632B">
            <w:pPr>
              <w:spacing w:before="120"/>
              <w:rPr>
                <w:rFonts w:eastAsia="Arial" w:cs="Noto Sans"/>
                <w:b/>
                <w:bCs/>
                <w:szCs w:val="18"/>
              </w:rPr>
            </w:pPr>
            <w:bookmarkStart w:id="4" w:name="_Hlk22214461"/>
            <w:r w:rsidRPr="003C632B">
              <w:rPr>
                <w:rFonts w:eastAsia="Arial" w:cs="Noto Sans"/>
                <w:b/>
                <w:bCs/>
                <w:szCs w:val="18"/>
              </w:rPr>
              <w:t xml:space="preserve">Budget Analysis Methodology </w:t>
            </w:r>
            <w:bookmarkEnd w:id="4"/>
          </w:p>
        </w:tc>
        <w:tc>
          <w:tcPr>
            <w:tcW w:w="5670" w:type="dxa"/>
            <w:hideMark/>
          </w:tcPr>
          <w:p w14:paraId="63A117E6" w14:textId="77777777" w:rsidR="003C632B" w:rsidRPr="00EC52A1" w:rsidRDefault="003C632B" w:rsidP="00EC52A1">
            <w:pPr>
              <w:pStyle w:val="ListParagraph"/>
              <w:numPr>
                <w:ilvl w:val="0"/>
                <w:numId w:val="23"/>
              </w:numPr>
              <w:spacing w:before="60" w:after="60"/>
              <w:rPr>
                <w:rFonts w:eastAsia="Arial" w:cs="Noto Sans"/>
                <w:szCs w:val="18"/>
              </w:rPr>
            </w:pPr>
            <w:r w:rsidRPr="00EC52A1">
              <w:rPr>
                <w:rFonts w:eastAsia="Arial" w:cs="Noto Sans"/>
                <w:szCs w:val="18"/>
              </w:rPr>
              <w:t xml:space="preserve">Detail the proposed budget evaluation methodology, as well as the rationale for all assumptions, including discount rate. </w:t>
            </w:r>
          </w:p>
          <w:p w14:paraId="361EC3FF" w14:textId="77777777" w:rsidR="003C632B" w:rsidRPr="00EC52A1" w:rsidRDefault="003C632B" w:rsidP="00EC52A1">
            <w:pPr>
              <w:pStyle w:val="ListParagraph"/>
              <w:numPr>
                <w:ilvl w:val="0"/>
                <w:numId w:val="23"/>
              </w:numPr>
              <w:spacing w:before="60" w:after="60"/>
              <w:rPr>
                <w:rFonts w:eastAsia="Times New Roman" w:cs="Noto Sans"/>
                <w:szCs w:val="18"/>
              </w:rPr>
            </w:pPr>
            <w:r w:rsidRPr="00EC52A1">
              <w:rPr>
                <w:rFonts w:eastAsia="Arial" w:cs="Noto Sans"/>
                <w:szCs w:val="18"/>
              </w:rPr>
              <w:t xml:space="preserve">Prepare a detailed assumptions book that includes the rationale underpinning assumptions, including those in the financial model. </w:t>
            </w:r>
          </w:p>
        </w:tc>
        <w:tc>
          <w:tcPr>
            <w:tcW w:w="3002" w:type="dxa"/>
            <w:hideMark/>
          </w:tcPr>
          <w:p w14:paraId="5551E7A0" w14:textId="77777777" w:rsidR="003C632B" w:rsidRPr="00EC52A1" w:rsidRDefault="003C632B" w:rsidP="00EC52A1">
            <w:pPr>
              <w:pStyle w:val="ListParagraph"/>
              <w:numPr>
                <w:ilvl w:val="0"/>
                <w:numId w:val="24"/>
              </w:numPr>
              <w:spacing w:before="60" w:after="60"/>
              <w:rPr>
                <w:rFonts w:eastAsia="Arial" w:cs="Noto Sans"/>
                <w:szCs w:val="18"/>
              </w:rPr>
            </w:pPr>
            <w:r w:rsidRPr="00EC52A1">
              <w:rPr>
                <w:rFonts w:eastAsia="Arial" w:cs="Noto Sans"/>
                <w:szCs w:val="18"/>
              </w:rPr>
              <w:t>Methodology paper.</w:t>
            </w:r>
          </w:p>
          <w:p w14:paraId="422FC4BC" w14:textId="77777777" w:rsidR="003C632B" w:rsidRPr="00EC52A1" w:rsidRDefault="003C632B" w:rsidP="00EC52A1">
            <w:pPr>
              <w:pStyle w:val="ListParagraph"/>
              <w:numPr>
                <w:ilvl w:val="0"/>
                <w:numId w:val="24"/>
              </w:numPr>
              <w:spacing w:before="60" w:after="60"/>
              <w:rPr>
                <w:rFonts w:eastAsia="Arial" w:cs="Noto Sans"/>
                <w:szCs w:val="18"/>
              </w:rPr>
            </w:pPr>
            <w:r w:rsidRPr="00EC52A1">
              <w:rPr>
                <w:rFonts w:eastAsia="Arial" w:cs="Noto Sans"/>
                <w:szCs w:val="18"/>
              </w:rPr>
              <w:t>Detailed assumptions book.</w:t>
            </w:r>
          </w:p>
        </w:tc>
      </w:tr>
      <w:tr w:rsidR="003C632B" w:rsidRPr="003C632B" w14:paraId="50E7CE11" w14:textId="77777777" w:rsidTr="00D5378B">
        <w:tc>
          <w:tcPr>
            <w:tcW w:w="2122" w:type="dxa"/>
            <w:shd w:val="clear" w:color="auto" w:fill="E6E6E6"/>
            <w:hideMark/>
          </w:tcPr>
          <w:p w14:paraId="05C4B164" w14:textId="77777777" w:rsidR="003C632B" w:rsidRPr="003C632B" w:rsidRDefault="003C632B" w:rsidP="00EC52A1">
            <w:pPr>
              <w:spacing w:before="120"/>
              <w:rPr>
                <w:rFonts w:eastAsia="Arial" w:cs="Noto Sans"/>
                <w:b/>
                <w:bCs/>
                <w:szCs w:val="18"/>
              </w:rPr>
            </w:pPr>
            <w:r w:rsidRPr="003C632B">
              <w:rPr>
                <w:rFonts w:eastAsia="Arial" w:cs="Noto Sans"/>
                <w:b/>
                <w:bCs/>
                <w:szCs w:val="18"/>
              </w:rPr>
              <w:t xml:space="preserve">Budget Analysis </w:t>
            </w:r>
          </w:p>
        </w:tc>
        <w:tc>
          <w:tcPr>
            <w:tcW w:w="5670" w:type="dxa"/>
            <w:hideMark/>
          </w:tcPr>
          <w:p w14:paraId="65D60E09" w14:textId="77777777" w:rsidR="003C632B" w:rsidRPr="00EC52A1" w:rsidRDefault="003C632B" w:rsidP="00EC52A1">
            <w:pPr>
              <w:pStyle w:val="ListParagraph"/>
              <w:numPr>
                <w:ilvl w:val="0"/>
                <w:numId w:val="25"/>
              </w:numPr>
              <w:spacing w:before="60" w:after="60"/>
              <w:rPr>
                <w:rFonts w:eastAsia="Arial" w:cs="Noto Sans"/>
                <w:szCs w:val="18"/>
              </w:rPr>
            </w:pPr>
            <w:r w:rsidRPr="00EC52A1">
              <w:rPr>
                <w:rFonts w:eastAsia="Arial" w:cs="Noto Sans"/>
                <w:szCs w:val="18"/>
              </w:rPr>
              <w:t xml:space="preserve">Complete a budget evaluation for the proposal, including: </w:t>
            </w:r>
          </w:p>
          <w:p w14:paraId="5FE55EC3" w14:textId="77777777" w:rsidR="003C632B" w:rsidRPr="003C632B" w:rsidRDefault="003C632B" w:rsidP="00EC52A1">
            <w:pPr>
              <w:numPr>
                <w:ilvl w:val="0"/>
                <w:numId w:val="26"/>
              </w:numPr>
              <w:spacing w:before="60" w:after="60"/>
              <w:rPr>
                <w:rFonts w:eastAsia="Arial" w:cs="Noto Sans"/>
                <w:szCs w:val="18"/>
              </w:rPr>
            </w:pPr>
            <w:r w:rsidRPr="003C632B">
              <w:rPr>
                <w:rFonts w:eastAsia="Arial" w:cs="Noto Sans"/>
                <w:szCs w:val="18"/>
              </w:rPr>
              <w:t>Determination of investment horizon including rationale and justifications</w:t>
            </w:r>
          </w:p>
          <w:p w14:paraId="7D714377" w14:textId="77777777" w:rsidR="003C632B" w:rsidRPr="003C632B" w:rsidRDefault="003C632B" w:rsidP="00EC52A1">
            <w:pPr>
              <w:numPr>
                <w:ilvl w:val="0"/>
                <w:numId w:val="26"/>
              </w:numPr>
              <w:spacing w:before="60" w:after="60"/>
              <w:rPr>
                <w:rFonts w:eastAsia="Arial" w:cs="Noto Sans"/>
                <w:szCs w:val="18"/>
              </w:rPr>
            </w:pPr>
            <w:r w:rsidRPr="003C632B">
              <w:rPr>
                <w:rFonts w:eastAsia="Arial" w:cs="Noto Sans"/>
                <w:szCs w:val="18"/>
              </w:rPr>
              <w:t xml:space="preserve">Determination of appropriate risk quantification methodologies, justifying </w:t>
            </w:r>
            <w:r w:rsidRPr="003C632B">
              <w:rPr>
                <w:rFonts w:eastAsia="Arial" w:cs="Noto Sans"/>
                <w:szCs w:val="18"/>
              </w:rPr>
              <w:lastRenderedPageBreak/>
              <w:t xml:space="preserve">approach and distributions proposed (where appropriate) </w:t>
            </w:r>
          </w:p>
          <w:p w14:paraId="7D362A42" w14:textId="77777777" w:rsidR="003C632B" w:rsidRPr="003C632B" w:rsidRDefault="003C632B" w:rsidP="00EC52A1">
            <w:pPr>
              <w:numPr>
                <w:ilvl w:val="0"/>
                <w:numId w:val="26"/>
              </w:numPr>
              <w:spacing w:before="60" w:after="60"/>
              <w:rPr>
                <w:rFonts w:eastAsia="Arial" w:cs="Noto Sans"/>
                <w:szCs w:val="18"/>
              </w:rPr>
            </w:pPr>
            <w:r w:rsidRPr="003C632B">
              <w:rPr>
                <w:rFonts w:eastAsia="Arial" w:cs="Noto Sans"/>
                <w:szCs w:val="18"/>
              </w:rPr>
              <w:t xml:space="preserve">Determination and calculation of retained and transferred risks including rationale for evaluation, retention/transfer of risks </w:t>
            </w:r>
          </w:p>
          <w:p w14:paraId="220013E6" w14:textId="77777777" w:rsidR="003C632B" w:rsidRPr="003C632B" w:rsidRDefault="003C632B" w:rsidP="00EC52A1">
            <w:pPr>
              <w:numPr>
                <w:ilvl w:val="0"/>
                <w:numId w:val="26"/>
              </w:numPr>
              <w:spacing w:before="60" w:after="60"/>
              <w:rPr>
                <w:rFonts w:eastAsia="Arial" w:cs="Noto Sans"/>
                <w:szCs w:val="18"/>
              </w:rPr>
            </w:pPr>
            <w:r w:rsidRPr="003C632B">
              <w:rPr>
                <w:rFonts w:eastAsia="Arial" w:cs="Noto Sans"/>
                <w:szCs w:val="18"/>
              </w:rPr>
              <w:t>Build-up of costs including raw costs, planned risks, unplanned risks and agency costs into a cashflow profile and then escalated, include rationale for all cost and escalation evaluations</w:t>
            </w:r>
          </w:p>
          <w:p w14:paraId="78082403" w14:textId="77777777" w:rsidR="003C632B" w:rsidRPr="003C632B" w:rsidRDefault="003C632B" w:rsidP="00EC52A1">
            <w:pPr>
              <w:numPr>
                <w:ilvl w:val="0"/>
                <w:numId w:val="26"/>
              </w:numPr>
              <w:spacing w:before="60" w:after="60"/>
              <w:rPr>
                <w:rFonts w:eastAsia="Arial" w:cs="Noto Sans"/>
                <w:szCs w:val="18"/>
              </w:rPr>
            </w:pPr>
            <w:r w:rsidRPr="003C632B">
              <w:rPr>
                <w:rFonts w:eastAsia="Arial" w:cs="Noto Sans"/>
                <w:szCs w:val="18"/>
              </w:rPr>
              <w:t>Development of budget financial base case over the investment horizon</w:t>
            </w:r>
          </w:p>
          <w:p w14:paraId="6B5A6F8A" w14:textId="77777777" w:rsidR="003C632B" w:rsidRPr="003C632B" w:rsidRDefault="003C632B" w:rsidP="00EC52A1">
            <w:pPr>
              <w:numPr>
                <w:ilvl w:val="0"/>
                <w:numId w:val="26"/>
              </w:numPr>
              <w:spacing w:before="60" w:after="60"/>
              <w:rPr>
                <w:rFonts w:eastAsia="Arial" w:cs="Noto Sans"/>
                <w:szCs w:val="18"/>
              </w:rPr>
            </w:pPr>
            <w:r w:rsidRPr="003C632B">
              <w:rPr>
                <w:rFonts w:eastAsia="Arial" w:cs="Noto Sans"/>
                <w:szCs w:val="18"/>
              </w:rPr>
              <w:t>Development of proposal budget evaluation over the investment horizon broken down into capital (monthly cashflows) and operating (determine duration informed by complexity and variability of cashflows and provide rationale) components</w:t>
            </w:r>
          </w:p>
          <w:p w14:paraId="0775E311" w14:textId="77777777" w:rsidR="003C632B" w:rsidRPr="003C632B" w:rsidRDefault="003C632B" w:rsidP="00EC52A1">
            <w:pPr>
              <w:numPr>
                <w:ilvl w:val="0"/>
                <w:numId w:val="26"/>
              </w:numPr>
              <w:spacing w:before="60" w:after="60"/>
              <w:rPr>
                <w:rFonts w:eastAsia="Arial" w:cs="Noto Sans"/>
                <w:szCs w:val="18"/>
              </w:rPr>
            </w:pPr>
            <w:r w:rsidRPr="003C632B">
              <w:rPr>
                <w:rFonts w:eastAsia="Arial" w:cs="Noto Sans"/>
                <w:szCs w:val="18"/>
              </w:rPr>
              <w:t>Calculation of capital cost distribution using risk quantification outcomes</w:t>
            </w:r>
          </w:p>
          <w:p w14:paraId="5094C63C" w14:textId="77777777" w:rsidR="003C632B" w:rsidRPr="003C632B" w:rsidRDefault="003C632B" w:rsidP="00EC52A1">
            <w:pPr>
              <w:numPr>
                <w:ilvl w:val="0"/>
                <w:numId w:val="26"/>
              </w:numPr>
              <w:spacing w:before="60" w:after="60"/>
              <w:rPr>
                <w:rFonts w:eastAsia="Arial" w:cs="Noto Sans"/>
                <w:szCs w:val="18"/>
              </w:rPr>
            </w:pPr>
            <w:r w:rsidRPr="003C632B">
              <w:rPr>
                <w:rFonts w:eastAsia="Arial" w:cs="Noto Sans"/>
                <w:szCs w:val="18"/>
              </w:rPr>
              <w:t>Development of cash flows in nominal terms only for the investment evaluation</w:t>
            </w:r>
          </w:p>
          <w:p w14:paraId="7685DB70" w14:textId="77777777" w:rsidR="003C632B" w:rsidRPr="003C632B" w:rsidRDefault="003C632B" w:rsidP="00EC52A1">
            <w:pPr>
              <w:numPr>
                <w:ilvl w:val="0"/>
                <w:numId w:val="26"/>
              </w:numPr>
              <w:spacing w:before="60" w:after="60"/>
              <w:rPr>
                <w:rFonts w:eastAsia="Arial" w:cs="Noto Sans"/>
                <w:szCs w:val="18"/>
              </w:rPr>
            </w:pPr>
            <w:r w:rsidRPr="003C632B">
              <w:rPr>
                <w:rFonts w:eastAsia="Arial" w:cs="Noto Sans"/>
                <w:szCs w:val="18"/>
              </w:rPr>
              <w:t xml:space="preserve">Development of real cash flows and provide them to the economics team (does not need to be presented in the budget analysis) </w:t>
            </w:r>
          </w:p>
          <w:p w14:paraId="08404A42" w14:textId="77777777" w:rsidR="003C632B" w:rsidRPr="003C632B" w:rsidRDefault="003C632B" w:rsidP="00EC52A1">
            <w:pPr>
              <w:numPr>
                <w:ilvl w:val="0"/>
                <w:numId w:val="26"/>
              </w:numPr>
              <w:spacing w:before="60" w:after="60"/>
              <w:rPr>
                <w:rFonts w:eastAsia="Arial" w:cs="Noto Sans"/>
                <w:szCs w:val="18"/>
              </w:rPr>
            </w:pPr>
            <w:r w:rsidRPr="003C632B">
              <w:rPr>
                <w:rFonts w:eastAsia="Arial" w:cs="Noto Sans"/>
                <w:szCs w:val="18"/>
              </w:rPr>
              <w:t xml:space="preserve">Calculation of the Total Cost of Ownership (TCO) over the investment horizon in nominal terms to allow understanding of present-day cost of investment. </w:t>
            </w:r>
          </w:p>
          <w:p w14:paraId="256D6F1D" w14:textId="77777777" w:rsidR="003C632B" w:rsidRPr="00EC52A1" w:rsidRDefault="003C632B" w:rsidP="00EC52A1">
            <w:pPr>
              <w:pStyle w:val="ListParagraph"/>
              <w:numPr>
                <w:ilvl w:val="0"/>
                <w:numId w:val="25"/>
              </w:numPr>
              <w:spacing w:before="60" w:after="60"/>
              <w:rPr>
                <w:rFonts w:eastAsia="Arial" w:cs="Noto Sans"/>
                <w:szCs w:val="18"/>
              </w:rPr>
            </w:pPr>
            <w:r w:rsidRPr="00EC52A1">
              <w:rPr>
                <w:rFonts w:eastAsia="Arial" w:cs="Noto Sans"/>
                <w:szCs w:val="18"/>
              </w:rPr>
              <w:t>Undertake scenario and sensitivity analysis, evaluating which assumptions have the most impact on the budget outcomes This is to be evaluated at the sub-component level for capital and operating cost elements and risks to determine which elements are most sensitive to changes.</w:t>
            </w:r>
          </w:p>
          <w:p w14:paraId="724C7AA8" w14:textId="77777777" w:rsidR="003C632B" w:rsidRPr="00EC52A1" w:rsidRDefault="003C632B" w:rsidP="00EC52A1">
            <w:pPr>
              <w:pStyle w:val="ListParagraph"/>
              <w:numPr>
                <w:ilvl w:val="0"/>
                <w:numId w:val="25"/>
              </w:numPr>
              <w:spacing w:before="60" w:after="60"/>
              <w:rPr>
                <w:rFonts w:eastAsia="Arial" w:cs="Noto Sans"/>
                <w:szCs w:val="18"/>
              </w:rPr>
            </w:pPr>
            <w:r w:rsidRPr="00EC52A1">
              <w:rPr>
                <w:rFonts w:eastAsia="Arial" w:cs="Noto Sans"/>
                <w:szCs w:val="18"/>
              </w:rPr>
              <w:t xml:space="preserve">Calculate the most likely outcomes e.g., expected values (noting that </w:t>
            </w:r>
            <w:r w:rsidRPr="00EC52A1">
              <w:rPr>
                <w:rFonts w:eastAsia="Arial" w:cs="Noto Sans"/>
                <w:szCs w:val="18"/>
                <w:highlight w:val="yellow"/>
              </w:rPr>
              <w:t>the P 50 and P90 estimate</w:t>
            </w:r>
            <w:r w:rsidRPr="00EC52A1">
              <w:rPr>
                <w:rFonts w:eastAsia="Arial" w:cs="Noto Sans"/>
                <w:szCs w:val="18"/>
              </w:rPr>
              <w:t xml:space="preserve"> is only calculated for the affordability evaluation). </w:t>
            </w:r>
          </w:p>
          <w:p w14:paraId="7B0A780A" w14:textId="77777777" w:rsidR="003C632B" w:rsidRPr="00EC52A1" w:rsidRDefault="003C632B" w:rsidP="00EC52A1">
            <w:pPr>
              <w:pStyle w:val="ListParagraph"/>
              <w:numPr>
                <w:ilvl w:val="0"/>
                <w:numId w:val="25"/>
              </w:numPr>
              <w:spacing w:before="60" w:after="60"/>
              <w:rPr>
                <w:rFonts w:eastAsia="Times New Roman" w:cs="Noto Sans"/>
                <w:szCs w:val="18"/>
              </w:rPr>
            </w:pPr>
            <w:r w:rsidRPr="00EC52A1">
              <w:rPr>
                <w:rFonts w:eastAsia="Arial" w:cs="Noto Sans"/>
                <w:szCs w:val="18"/>
              </w:rPr>
              <w:t xml:space="preserve">Evaluate likely accounting and tax implications from the proposed investment. </w:t>
            </w:r>
          </w:p>
        </w:tc>
        <w:tc>
          <w:tcPr>
            <w:tcW w:w="3002" w:type="dxa"/>
            <w:hideMark/>
          </w:tcPr>
          <w:p w14:paraId="5BABFEF5" w14:textId="77777777" w:rsidR="003C632B" w:rsidRPr="00EC52A1" w:rsidRDefault="003C632B" w:rsidP="00EC52A1">
            <w:pPr>
              <w:pStyle w:val="ListParagraph"/>
              <w:numPr>
                <w:ilvl w:val="0"/>
                <w:numId w:val="24"/>
              </w:numPr>
              <w:spacing w:before="60" w:after="60"/>
              <w:rPr>
                <w:rFonts w:eastAsia="Arial" w:cs="Noto Sans"/>
                <w:szCs w:val="18"/>
              </w:rPr>
            </w:pPr>
            <w:r w:rsidRPr="00EC52A1">
              <w:rPr>
                <w:rFonts w:eastAsia="Arial" w:cs="Noto Sans"/>
                <w:szCs w:val="18"/>
              </w:rPr>
              <w:lastRenderedPageBreak/>
              <w:t>Budget analysis documentation.</w:t>
            </w:r>
          </w:p>
          <w:p w14:paraId="7060E96C" w14:textId="77777777" w:rsidR="003C632B" w:rsidRPr="00EC52A1" w:rsidRDefault="003C632B" w:rsidP="00EC52A1">
            <w:pPr>
              <w:pStyle w:val="ListParagraph"/>
              <w:numPr>
                <w:ilvl w:val="0"/>
                <w:numId w:val="24"/>
              </w:numPr>
              <w:spacing w:before="60" w:after="60"/>
              <w:rPr>
                <w:rFonts w:eastAsia="Times New Roman" w:cs="Noto Sans"/>
                <w:szCs w:val="18"/>
              </w:rPr>
            </w:pPr>
            <w:r w:rsidRPr="00EC52A1">
              <w:rPr>
                <w:rFonts w:eastAsia="Arial" w:cs="Noto Sans"/>
                <w:szCs w:val="18"/>
              </w:rPr>
              <w:t>Budget analysis section in Financial Analysis report.</w:t>
            </w:r>
          </w:p>
        </w:tc>
      </w:tr>
      <w:tr w:rsidR="003C632B" w:rsidRPr="003C632B" w14:paraId="402A7FDE" w14:textId="77777777" w:rsidTr="00D5378B">
        <w:tc>
          <w:tcPr>
            <w:tcW w:w="2122" w:type="dxa"/>
            <w:shd w:val="clear" w:color="auto" w:fill="E6E6E6"/>
            <w:hideMark/>
          </w:tcPr>
          <w:p w14:paraId="67D94980" w14:textId="77777777" w:rsidR="003C632B" w:rsidRPr="003C632B" w:rsidRDefault="003C632B" w:rsidP="00EC52A1">
            <w:pPr>
              <w:spacing w:before="120"/>
              <w:rPr>
                <w:rFonts w:eastAsia="Arial" w:cs="Noto Sans"/>
                <w:b/>
                <w:bCs/>
                <w:szCs w:val="18"/>
              </w:rPr>
            </w:pPr>
            <w:r w:rsidRPr="003C632B">
              <w:rPr>
                <w:rFonts w:eastAsia="Arial" w:cs="Noto Sans"/>
                <w:b/>
                <w:bCs/>
                <w:szCs w:val="18"/>
              </w:rPr>
              <w:t>Financial Model</w:t>
            </w:r>
          </w:p>
        </w:tc>
        <w:tc>
          <w:tcPr>
            <w:tcW w:w="5670" w:type="dxa"/>
            <w:hideMark/>
          </w:tcPr>
          <w:p w14:paraId="15E59FD9" w14:textId="77777777" w:rsidR="003C632B" w:rsidRPr="00EC52A1" w:rsidRDefault="003C632B" w:rsidP="00EC52A1">
            <w:pPr>
              <w:pStyle w:val="ListParagraph"/>
              <w:numPr>
                <w:ilvl w:val="0"/>
                <w:numId w:val="27"/>
              </w:numPr>
              <w:spacing w:before="60" w:after="60"/>
              <w:rPr>
                <w:rFonts w:eastAsia="Arial" w:cs="Noto Sans"/>
                <w:szCs w:val="18"/>
              </w:rPr>
            </w:pPr>
            <w:r w:rsidRPr="00EC52A1">
              <w:rPr>
                <w:rFonts w:eastAsia="Arial" w:cs="Noto Sans"/>
                <w:szCs w:val="18"/>
              </w:rPr>
              <w:t>Interrogate existing financial model/s and challenge the assumptions on key parameters and inputs on the ‘current state’ for the purpose of forecasting or projecting the expected Base Case scenario. The assessment must include consideration of expected capital and operating costs to maintain minimum service levels.</w:t>
            </w:r>
          </w:p>
          <w:p w14:paraId="25321456" w14:textId="77777777" w:rsidR="003C632B" w:rsidRPr="00EC52A1" w:rsidRDefault="003C632B" w:rsidP="00EC52A1">
            <w:pPr>
              <w:pStyle w:val="ListParagraph"/>
              <w:numPr>
                <w:ilvl w:val="0"/>
                <w:numId w:val="27"/>
              </w:numPr>
              <w:spacing w:before="60" w:after="60"/>
              <w:rPr>
                <w:rFonts w:eastAsia="Arial" w:cs="Noto Sans"/>
                <w:szCs w:val="18"/>
              </w:rPr>
            </w:pPr>
            <w:r w:rsidRPr="00EC52A1">
              <w:rPr>
                <w:rFonts w:eastAsia="Arial" w:cs="Noto Sans"/>
                <w:szCs w:val="18"/>
              </w:rPr>
              <w:t xml:space="preserve">Develop a financial model to incorporate demand, staging options and risk. </w:t>
            </w:r>
          </w:p>
          <w:p w14:paraId="0D42EC2E" w14:textId="77777777" w:rsidR="003C632B" w:rsidRPr="00EC52A1" w:rsidRDefault="003C632B" w:rsidP="00EC52A1">
            <w:pPr>
              <w:pStyle w:val="ListParagraph"/>
              <w:numPr>
                <w:ilvl w:val="0"/>
                <w:numId w:val="27"/>
              </w:numPr>
              <w:spacing w:before="60" w:after="60"/>
              <w:rPr>
                <w:rFonts w:eastAsia="Arial" w:cs="Noto Sans"/>
                <w:szCs w:val="18"/>
              </w:rPr>
            </w:pPr>
            <w:r w:rsidRPr="00EC52A1">
              <w:rPr>
                <w:rFonts w:eastAsia="Arial" w:cs="Noto Sans"/>
                <w:szCs w:val="18"/>
              </w:rPr>
              <w:t>Include sensitivity analysis, testing the impact of various demand, operational and capital cost and revenue parameters/scenarios, specifically with a system-wide view and how the changes would impact on the financial position of the Reference Project.</w:t>
            </w:r>
          </w:p>
        </w:tc>
        <w:tc>
          <w:tcPr>
            <w:tcW w:w="3002" w:type="dxa"/>
            <w:hideMark/>
          </w:tcPr>
          <w:p w14:paraId="5B6B5862" w14:textId="77777777" w:rsidR="003C632B" w:rsidRPr="00EC52A1" w:rsidRDefault="003C632B" w:rsidP="00EC52A1">
            <w:pPr>
              <w:pStyle w:val="ListParagraph"/>
              <w:numPr>
                <w:ilvl w:val="0"/>
                <w:numId w:val="24"/>
              </w:numPr>
              <w:spacing w:before="60" w:after="60"/>
              <w:rPr>
                <w:rFonts w:eastAsia="Arial" w:cs="Noto Sans"/>
                <w:szCs w:val="18"/>
              </w:rPr>
            </w:pPr>
            <w:r w:rsidRPr="00EC52A1">
              <w:rPr>
                <w:rFonts w:eastAsia="Arial" w:cs="Noto Sans"/>
                <w:szCs w:val="18"/>
              </w:rPr>
              <w:t xml:space="preserve">Financial Model (unlocked, audited and fully functional). </w:t>
            </w:r>
          </w:p>
        </w:tc>
      </w:tr>
      <w:tr w:rsidR="003C632B" w:rsidRPr="003C632B" w14:paraId="10D2091F" w14:textId="77777777" w:rsidTr="00D5378B">
        <w:tc>
          <w:tcPr>
            <w:tcW w:w="2122" w:type="dxa"/>
            <w:shd w:val="clear" w:color="auto" w:fill="E6E6E6"/>
          </w:tcPr>
          <w:p w14:paraId="39784070" w14:textId="77777777" w:rsidR="003C632B" w:rsidRPr="003C632B" w:rsidRDefault="003C632B" w:rsidP="003C632B">
            <w:pPr>
              <w:spacing w:before="120"/>
              <w:rPr>
                <w:rFonts w:eastAsia="Arial" w:cs="Noto Sans"/>
                <w:b/>
                <w:bCs/>
                <w:szCs w:val="18"/>
              </w:rPr>
            </w:pPr>
            <w:r w:rsidRPr="003C632B">
              <w:rPr>
                <w:rFonts w:eastAsia="Arial" w:cs="Noto Sans"/>
                <w:b/>
                <w:bCs/>
                <w:szCs w:val="18"/>
              </w:rPr>
              <w:t>Financial Analysis</w:t>
            </w:r>
          </w:p>
          <w:p w14:paraId="554CEBE4" w14:textId="77777777" w:rsidR="003C632B" w:rsidRPr="003C632B" w:rsidRDefault="003C632B" w:rsidP="003C632B">
            <w:pPr>
              <w:spacing w:before="60" w:after="60"/>
              <w:ind w:left="113" w:right="113"/>
              <w:rPr>
                <w:rFonts w:eastAsia="Arial" w:cs="Noto Sans"/>
                <w:b/>
                <w:bCs/>
                <w:szCs w:val="18"/>
              </w:rPr>
            </w:pPr>
          </w:p>
        </w:tc>
        <w:tc>
          <w:tcPr>
            <w:tcW w:w="5670" w:type="dxa"/>
            <w:hideMark/>
          </w:tcPr>
          <w:p w14:paraId="0302768E" w14:textId="77777777" w:rsidR="003C632B" w:rsidRPr="00EC52A1" w:rsidRDefault="003C632B" w:rsidP="00EC52A1">
            <w:pPr>
              <w:pStyle w:val="ListParagraph"/>
              <w:numPr>
                <w:ilvl w:val="0"/>
                <w:numId w:val="24"/>
              </w:numPr>
              <w:spacing w:before="60" w:after="60"/>
              <w:rPr>
                <w:rFonts w:eastAsia="Arial" w:cs="Noto Sans"/>
                <w:szCs w:val="18"/>
              </w:rPr>
            </w:pPr>
            <w:r w:rsidRPr="00EC52A1">
              <w:rPr>
                <w:rFonts w:eastAsia="Arial" w:cs="Noto Sans"/>
                <w:szCs w:val="18"/>
              </w:rPr>
              <w:t>Document succinctly in plain English the current Australian sector funding and pricing framework and incorporate these as appropriate into the financial analysis.</w:t>
            </w:r>
          </w:p>
          <w:p w14:paraId="108AC835" w14:textId="77777777" w:rsidR="003C632B" w:rsidRPr="00EC52A1" w:rsidRDefault="003C632B" w:rsidP="00EC52A1">
            <w:pPr>
              <w:pStyle w:val="ListParagraph"/>
              <w:numPr>
                <w:ilvl w:val="0"/>
                <w:numId w:val="24"/>
              </w:numPr>
              <w:spacing w:before="60" w:after="60"/>
              <w:rPr>
                <w:rFonts w:eastAsia="Arial" w:cs="Noto Sans"/>
                <w:szCs w:val="18"/>
              </w:rPr>
            </w:pPr>
            <w:r w:rsidRPr="00EC52A1">
              <w:rPr>
                <w:rFonts w:eastAsia="Arial" w:cs="Noto Sans"/>
                <w:szCs w:val="18"/>
              </w:rPr>
              <w:t>In accordance with the BCDF (Section B10: Financial Analysis), undertake financial analysis on the Proposal, and prepare a draft a Financial Analysis Report. This report will document the budget analysis, financial analysis, financial risks and impacts resulting from the Reference Project/s.</w:t>
            </w:r>
          </w:p>
          <w:p w14:paraId="372F4996" w14:textId="77777777" w:rsidR="003C632B" w:rsidRPr="00EC52A1" w:rsidRDefault="003C632B" w:rsidP="00EC52A1">
            <w:pPr>
              <w:pStyle w:val="ListParagraph"/>
              <w:numPr>
                <w:ilvl w:val="0"/>
                <w:numId w:val="24"/>
              </w:numPr>
              <w:spacing w:before="60" w:after="60"/>
              <w:rPr>
                <w:rFonts w:eastAsia="Arial" w:cs="Noto Sans"/>
                <w:szCs w:val="18"/>
              </w:rPr>
            </w:pPr>
            <w:r w:rsidRPr="00EC52A1">
              <w:rPr>
                <w:rFonts w:eastAsia="Arial" w:cs="Noto Sans"/>
                <w:szCs w:val="18"/>
              </w:rPr>
              <w:t>Draft the Financial Analysis section of the DBC in accordance with BCDF guidance (Section B10: Financial Analysis).</w:t>
            </w:r>
          </w:p>
        </w:tc>
        <w:tc>
          <w:tcPr>
            <w:tcW w:w="3002" w:type="dxa"/>
            <w:hideMark/>
          </w:tcPr>
          <w:p w14:paraId="2C26D00B" w14:textId="77777777" w:rsidR="003C632B" w:rsidRPr="00EC52A1" w:rsidRDefault="003C632B" w:rsidP="00EC52A1">
            <w:pPr>
              <w:pStyle w:val="ListParagraph"/>
              <w:numPr>
                <w:ilvl w:val="0"/>
                <w:numId w:val="24"/>
              </w:numPr>
              <w:spacing w:before="60" w:after="60"/>
              <w:rPr>
                <w:rFonts w:eastAsia="Arial" w:cs="Noto Sans"/>
                <w:szCs w:val="18"/>
              </w:rPr>
            </w:pPr>
            <w:r w:rsidRPr="00EC52A1">
              <w:rPr>
                <w:rFonts w:eastAsia="Arial" w:cs="Noto Sans"/>
                <w:szCs w:val="18"/>
              </w:rPr>
              <w:t>Methodology paper.</w:t>
            </w:r>
          </w:p>
          <w:p w14:paraId="6807F396" w14:textId="77777777" w:rsidR="003C632B" w:rsidRPr="00EC52A1" w:rsidRDefault="003C632B" w:rsidP="00EC52A1">
            <w:pPr>
              <w:pStyle w:val="ListParagraph"/>
              <w:numPr>
                <w:ilvl w:val="0"/>
                <w:numId w:val="24"/>
              </w:numPr>
              <w:spacing w:before="60" w:after="60"/>
              <w:rPr>
                <w:rFonts w:eastAsia="Arial" w:cs="Noto Sans"/>
                <w:szCs w:val="18"/>
              </w:rPr>
            </w:pPr>
            <w:r w:rsidRPr="00EC52A1">
              <w:rPr>
                <w:rFonts w:eastAsia="Arial" w:cs="Noto Sans"/>
                <w:szCs w:val="18"/>
              </w:rPr>
              <w:t>Financial analysis Report, including full documentation of methodology and analysis outcomes.</w:t>
            </w:r>
          </w:p>
          <w:p w14:paraId="1418A72C" w14:textId="77777777" w:rsidR="003C632B" w:rsidRPr="00EC52A1" w:rsidRDefault="003C632B" w:rsidP="00EC52A1">
            <w:pPr>
              <w:pStyle w:val="ListParagraph"/>
              <w:numPr>
                <w:ilvl w:val="0"/>
                <w:numId w:val="24"/>
              </w:numPr>
              <w:spacing w:before="60" w:after="60"/>
              <w:rPr>
                <w:rFonts w:eastAsia="Arial" w:cs="Noto Sans"/>
                <w:szCs w:val="18"/>
              </w:rPr>
            </w:pPr>
            <w:r w:rsidRPr="00EC52A1">
              <w:rPr>
                <w:rFonts w:eastAsia="Arial" w:cs="Noto Sans"/>
                <w:szCs w:val="18"/>
              </w:rPr>
              <w:t xml:space="preserve">Draft Financial Analysis chapter. </w:t>
            </w:r>
          </w:p>
        </w:tc>
      </w:tr>
      <w:tr w:rsidR="003C632B" w:rsidRPr="003C632B" w14:paraId="1C29AAD4" w14:textId="77777777" w:rsidTr="00D5378B">
        <w:tc>
          <w:tcPr>
            <w:tcW w:w="2122" w:type="dxa"/>
            <w:shd w:val="clear" w:color="auto" w:fill="E6E6E6"/>
            <w:hideMark/>
          </w:tcPr>
          <w:p w14:paraId="64B49E56" w14:textId="77777777" w:rsidR="003C632B" w:rsidRPr="003C632B" w:rsidRDefault="003C632B" w:rsidP="003C632B">
            <w:pPr>
              <w:spacing w:before="120"/>
              <w:rPr>
                <w:rFonts w:eastAsia="Arial" w:cs="Noto Sans"/>
                <w:b/>
                <w:bCs/>
                <w:szCs w:val="18"/>
              </w:rPr>
            </w:pPr>
            <w:bookmarkStart w:id="5" w:name="_Hlk22214492"/>
            <w:r w:rsidRPr="003C632B">
              <w:rPr>
                <w:rFonts w:eastAsia="Arial" w:cs="Noto Sans"/>
                <w:b/>
                <w:bCs/>
                <w:szCs w:val="18"/>
              </w:rPr>
              <w:t>Affordability Analysis</w:t>
            </w:r>
            <w:bookmarkEnd w:id="5"/>
          </w:p>
        </w:tc>
        <w:tc>
          <w:tcPr>
            <w:tcW w:w="5670" w:type="dxa"/>
            <w:hideMark/>
          </w:tcPr>
          <w:p w14:paraId="002B2C4D"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Develop a Public Sector Comparator, including a risk-adjusted, whole-of-life cost (to government) of the project using a traditional delivery method (i.e. the most likely and efficient form of public sector delivery of the Reference project).</w:t>
            </w:r>
          </w:p>
          <w:p w14:paraId="134F3E66"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Outline and assess affordability considerations for the Reference Project to assess whether the Reference Project is affordable over the whole of its life, measured as the risk-adjusted financial cost, net of all funding sources.</w:t>
            </w:r>
          </w:p>
          <w:p w14:paraId="621979EA"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Identify incremental funding implications on a total cost of ownership basis and an operating budget basis.  The operating budget considerations must identify the incremental resources and any potential funding efficiency / inefficiency e.g., duplication of resources locally or across the wider system.</w:t>
            </w:r>
          </w:p>
          <w:p w14:paraId="0666EA52"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Include detailed analysis of any timing issues raised by the profile of cash flows over time, in relation to demand profile and assess the impact of staging options on the cash flow profile over the expected life of the investment.</w:t>
            </w:r>
          </w:p>
          <w:p w14:paraId="35380F73"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Include sensitivity analysis, testing the impact of various cost and revenue parameters/scenarios on the affordability of the Reference Project.</w:t>
            </w:r>
          </w:p>
          <w:p w14:paraId="42B58971"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Draft Public Sector Comparator and Affordability Analysis chapters for the business case, in compliance with Section 19 of the DBC Guide.</w:t>
            </w:r>
          </w:p>
        </w:tc>
        <w:tc>
          <w:tcPr>
            <w:tcW w:w="3002" w:type="dxa"/>
            <w:hideMark/>
          </w:tcPr>
          <w:p w14:paraId="496685A6" w14:textId="77777777" w:rsidR="003C632B" w:rsidRPr="00EC52A1" w:rsidRDefault="003C632B" w:rsidP="00EC52A1">
            <w:pPr>
              <w:pStyle w:val="ListParagraph"/>
              <w:numPr>
                <w:ilvl w:val="0"/>
                <w:numId w:val="28"/>
              </w:numPr>
              <w:spacing w:before="60" w:after="60"/>
              <w:rPr>
                <w:rFonts w:eastAsia="Arial" w:cs="Noto Sans"/>
                <w:szCs w:val="18"/>
              </w:rPr>
            </w:pPr>
            <w:bookmarkStart w:id="6" w:name="_Hlk22214547"/>
            <w:r w:rsidRPr="00EC52A1">
              <w:rPr>
                <w:rFonts w:eastAsia="Arial" w:cs="Noto Sans"/>
                <w:szCs w:val="18"/>
              </w:rPr>
              <w:t>Public Sector Comparator and Affordability Analysis Report.</w:t>
            </w:r>
          </w:p>
          <w:p w14:paraId="7D2203B9"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Draft Public Sector Comparator chapter.</w:t>
            </w:r>
          </w:p>
          <w:p w14:paraId="1CF5C8EB"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Draft Affordability Analysis</w:t>
            </w:r>
            <w:bookmarkEnd w:id="6"/>
            <w:r w:rsidRPr="00EC52A1">
              <w:rPr>
                <w:rFonts w:eastAsia="Arial" w:cs="Noto Sans"/>
                <w:szCs w:val="18"/>
              </w:rPr>
              <w:t xml:space="preserve"> chapter.</w:t>
            </w:r>
          </w:p>
        </w:tc>
      </w:tr>
      <w:tr w:rsidR="003C632B" w:rsidRPr="003C632B" w14:paraId="2253B2A2" w14:textId="77777777" w:rsidTr="00D5378B">
        <w:tc>
          <w:tcPr>
            <w:tcW w:w="2122" w:type="dxa"/>
            <w:shd w:val="clear" w:color="auto" w:fill="E6E6E6"/>
            <w:hideMark/>
          </w:tcPr>
          <w:p w14:paraId="058B3720" w14:textId="77777777" w:rsidR="003C632B" w:rsidRPr="003C632B" w:rsidRDefault="003C632B" w:rsidP="003C632B">
            <w:pPr>
              <w:spacing w:before="120"/>
              <w:rPr>
                <w:rFonts w:eastAsia="Arial" w:cs="Noto Sans"/>
                <w:b/>
                <w:bCs/>
                <w:szCs w:val="18"/>
              </w:rPr>
            </w:pPr>
            <w:bookmarkStart w:id="7" w:name="_Hlk22214498"/>
            <w:r w:rsidRPr="003C632B">
              <w:rPr>
                <w:rFonts w:eastAsia="Arial" w:cs="Noto Sans"/>
                <w:b/>
                <w:bCs/>
                <w:szCs w:val="18"/>
              </w:rPr>
              <w:t>Delivery Model Analysis</w:t>
            </w:r>
            <w:bookmarkEnd w:id="7"/>
          </w:p>
        </w:tc>
        <w:tc>
          <w:tcPr>
            <w:tcW w:w="5670" w:type="dxa"/>
            <w:hideMark/>
          </w:tcPr>
          <w:p w14:paraId="48CE6B44"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 xml:space="preserve">Interrogate and challenge the existing delivery and operational model analysis. </w:t>
            </w:r>
          </w:p>
          <w:p w14:paraId="31F5E2BA"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Analyse packaging and construction staging options, with summary to include assessment methodology (assumptions, inputs, measures) and evaluation, to recommend preferred packaging arrangements.</w:t>
            </w:r>
          </w:p>
          <w:p w14:paraId="4107B6F0"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Assess value for money cost drivers to determine whether there is potential for the delivery and operational model options including traditional delivery and public private partnership (PPP). It is expected that Advisors will use the draft Queensland Treasury delivery model methodology (to be provided on contract award).</w:t>
            </w:r>
          </w:p>
          <w:p w14:paraId="6001E5F5"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Coordinate and conduct market capability analysis regarding the Reference Project and delivery and operational model/s to determine market appetite, feasibility, timing and other industry issues/concerns.</w:t>
            </w:r>
          </w:p>
          <w:p w14:paraId="43DFE0DD"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Recommend a preferred delivery model, to procure, construct, operate and maintain the Reference Project.</w:t>
            </w:r>
          </w:p>
          <w:p w14:paraId="7EC25799"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 xml:space="preserve">Draft Market Considerations and Delivery Model chapters, in compliance with Section 17 and 18 of the DBC Guide, to reflect the above assessment. </w:t>
            </w:r>
          </w:p>
        </w:tc>
        <w:tc>
          <w:tcPr>
            <w:tcW w:w="3002" w:type="dxa"/>
            <w:hideMark/>
          </w:tcPr>
          <w:p w14:paraId="00A77635"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 xml:space="preserve">Market Considerations and Delivery Model Analysis Report. </w:t>
            </w:r>
          </w:p>
          <w:p w14:paraId="336E78D7"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Draft Market Considerations chapter.</w:t>
            </w:r>
          </w:p>
          <w:p w14:paraId="301EA2AE"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Draft Delivery Model Analysis chapter.</w:t>
            </w:r>
          </w:p>
        </w:tc>
      </w:tr>
      <w:tr w:rsidR="003C632B" w:rsidRPr="003C632B" w14:paraId="048115DB" w14:textId="77777777" w:rsidTr="00D5378B">
        <w:tc>
          <w:tcPr>
            <w:tcW w:w="2122" w:type="dxa"/>
            <w:shd w:val="clear" w:color="auto" w:fill="E6E6E6"/>
            <w:hideMark/>
          </w:tcPr>
          <w:p w14:paraId="7FF8C2A2" w14:textId="77777777" w:rsidR="003C632B" w:rsidRPr="003C632B" w:rsidRDefault="003C632B" w:rsidP="003C632B">
            <w:pPr>
              <w:spacing w:before="120"/>
              <w:rPr>
                <w:rFonts w:eastAsia="Arial" w:cs="Noto Sans"/>
                <w:b/>
                <w:bCs/>
                <w:szCs w:val="18"/>
              </w:rPr>
            </w:pPr>
            <w:r w:rsidRPr="003C632B">
              <w:rPr>
                <w:rFonts w:eastAsia="Arial" w:cs="Noto Sans"/>
                <w:b/>
                <w:bCs/>
                <w:szCs w:val="18"/>
              </w:rPr>
              <w:t>Risk Assessment</w:t>
            </w:r>
          </w:p>
        </w:tc>
        <w:tc>
          <w:tcPr>
            <w:tcW w:w="5670" w:type="dxa"/>
            <w:hideMark/>
          </w:tcPr>
          <w:p w14:paraId="054FB7E1"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Contribute to risk assessments for the Reference Projects in compliance with the Risk Management requirements of the DBC Guide noting that Risk Workshops will be led by the Cost and Risk Advisor.</w:t>
            </w:r>
          </w:p>
          <w:p w14:paraId="5E4DE7B6"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Contribute to the risk registers for the Reference Projects in compliance with the DBC Guide</w:t>
            </w:r>
          </w:p>
          <w:p w14:paraId="6DBF1B10"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 xml:space="preserve">Undertake Monte Carlo analysis (analysis outputs determining key inputs for cost and risk), format and assumptions for the analysis. </w:t>
            </w:r>
          </w:p>
        </w:tc>
        <w:tc>
          <w:tcPr>
            <w:tcW w:w="3002" w:type="dxa"/>
          </w:tcPr>
          <w:p w14:paraId="577E2EDF"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Provide risk assessment inputs for the proposal, including documentation of the Monte Carlo analysis outcomes and key risks.</w:t>
            </w:r>
          </w:p>
          <w:p w14:paraId="1ED8F6CF" w14:textId="77777777" w:rsidR="003C632B" w:rsidRPr="003C632B" w:rsidRDefault="003C632B" w:rsidP="003C632B">
            <w:pPr>
              <w:spacing w:before="60" w:after="60"/>
              <w:ind w:left="360"/>
              <w:rPr>
                <w:rFonts w:eastAsia="Arial" w:cs="Noto Sans"/>
                <w:szCs w:val="18"/>
              </w:rPr>
            </w:pPr>
          </w:p>
        </w:tc>
      </w:tr>
      <w:tr w:rsidR="003C632B" w:rsidRPr="003C632B" w14:paraId="590E2BE0" w14:textId="77777777" w:rsidTr="00D5378B">
        <w:tc>
          <w:tcPr>
            <w:tcW w:w="2122" w:type="dxa"/>
            <w:shd w:val="clear" w:color="auto" w:fill="E6E6E6"/>
            <w:hideMark/>
          </w:tcPr>
          <w:p w14:paraId="67301DF1" w14:textId="77777777" w:rsidR="003C632B" w:rsidRPr="003C632B" w:rsidRDefault="003C632B" w:rsidP="003C632B">
            <w:pPr>
              <w:spacing w:before="120"/>
              <w:rPr>
                <w:rFonts w:eastAsia="Arial" w:cs="Noto Sans"/>
                <w:b/>
                <w:bCs/>
                <w:szCs w:val="18"/>
              </w:rPr>
            </w:pPr>
            <w:r w:rsidRPr="003C632B">
              <w:rPr>
                <w:rFonts w:eastAsia="Arial" w:cs="Noto Sans"/>
                <w:b/>
                <w:bCs/>
                <w:szCs w:val="18"/>
              </w:rPr>
              <w:t>Implementation Plan (</w:t>
            </w:r>
            <w:r w:rsidRPr="003C632B">
              <w:rPr>
                <w:rFonts w:eastAsia="Arial" w:cs="Noto Sans"/>
                <w:b/>
                <w:bCs/>
                <w:szCs w:val="18"/>
                <w:highlight w:val="cyan"/>
              </w:rPr>
              <w:t>delete if not required)</w:t>
            </w:r>
          </w:p>
        </w:tc>
        <w:tc>
          <w:tcPr>
            <w:tcW w:w="5670" w:type="dxa"/>
            <w:hideMark/>
          </w:tcPr>
          <w:p w14:paraId="3BF986E9"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 xml:space="preserve">Contribute to the drafting of an implementation project plan and resource plan for undertaking the next stage. </w:t>
            </w:r>
          </w:p>
        </w:tc>
        <w:tc>
          <w:tcPr>
            <w:tcW w:w="3002" w:type="dxa"/>
            <w:hideMark/>
          </w:tcPr>
          <w:p w14:paraId="6EB962BF"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Provide implementation and resource plan inputs for the next stage.</w:t>
            </w:r>
          </w:p>
        </w:tc>
      </w:tr>
      <w:tr w:rsidR="003C632B" w:rsidRPr="003C632B" w14:paraId="42F46926" w14:textId="77777777" w:rsidTr="00D5378B">
        <w:tc>
          <w:tcPr>
            <w:tcW w:w="2122" w:type="dxa"/>
            <w:shd w:val="clear" w:color="auto" w:fill="E6E6E6"/>
          </w:tcPr>
          <w:p w14:paraId="0FB61F32" w14:textId="77777777" w:rsidR="003C632B" w:rsidRPr="003C632B" w:rsidRDefault="003C632B" w:rsidP="003C632B">
            <w:pPr>
              <w:spacing w:before="120"/>
              <w:rPr>
                <w:rFonts w:eastAsia="Arial" w:cs="Noto Sans"/>
                <w:b/>
                <w:bCs/>
                <w:szCs w:val="18"/>
              </w:rPr>
            </w:pPr>
            <w:r w:rsidRPr="003C632B">
              <w:rPr>
                <w:rFonts w:eastAsia="Arial" w:cs="Noto Sans"/>
                <w:b/>
                <w:bCs/>
                <w:szCs w:val="18"/>
              </w:rPr>
              <w:t>Reporting, meetings and ad hoc tasks</w:t>
            </w:r>
          </w:p>
          <w:p w14:paraId="58D78D71" w14:textId="77777777" w:rsidR="003C632B" w:rsidRPr="003C632B" w:rsidRDefault="003C632B" w:rsidP="003C632B">
            <w:pPr>
              <w:spacing w:before="60" w:after="60"/>
              <w:ind w:left="113" w:right="113"/>
              <w:rPr>
                <w:rFonts w:eastAsia="Arial" w:cs="Noto Sans"/>
                <w:szCs w:val="18"/>
              </w:rPr>
            </w:pPr>
          </w:p>
        </w:tc>
        <w:tc>
          <w:tcPr>
            <w:tcW w:w="5670" w:type="dxa"/>
            <w:hideMark/>
          </w:tcPr>
          <w:p w14:paraId="6059FE71"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Adequately and thoroughly address all questions and concerns raised by Gateway Reviews and peer reviews.</w:t>
            </w:r>
          </w:p>
          <w:p w14:paraId="77831F72"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Prepare inputs for briefing notes, correspondence, reports, as required.</w:t>
            </w:r>
          </w:p>
          <w:p w14:paraId="7C5A55EA" w14:textId="77777777" w:rsidR="003C632B" w:rsidRPr="00EC52A1" w:rsidRDefault="003C632B" w:rsidP="00EC52A1">
            <w:pPr>
              <w:pStyle w:val="ListParagraph"/>
              <w:numPr>
                <w:ilvl w:val="0"/>
                <w:numId w:val="28"/>
              </w:numPr>
              <w:spacing w:before="60" w:after="60"/>
              <w:rPr>
                <w:rFonts w:eastAsia="Arial" w:cs="Noto Sans"/>
                <w:szCs w:val="18"/>
              </w:rPr>
            </w:pPr>
            <w:r w:rsidRPr="00EC52A1">
              <w:rPr>
                <w:rFonts w:eastAsia="Arial" w:cs="Noto Sans"/>
                <w:szCs w:val="18"/>
              </w:rPr>
              <w:t>Participate in workshop/s with the Peer Reviewers to discuss the methodology and outputs.</w:t>
            </w:r>
          </w:p>
          <w:p w14:paraId="309EFBCD" w14:textId="77777777" w:rsidR="003C632B" w:rsidRPr="00EC52A1" w:rsidRDefault="003C632B" w:rsidP="00EC52A1">
            <w:pPr>
              <w:pStyle w:val="ListParagraph"/>
              <w:numPr>
                <w:ilvl w:val="0"/>
                <w:numId w:val="28"/>
              </w:numPr>
              <w:spacing w:before="60" w:after="60"/>
              <w:rPr>
                <w:rFonts w:eastAsia="Times New Roman" w:cs="Noto Sans"/>
                <w:szCs w:val="18"/>
              </w:rPr>
            </w:pPr>
            <w:r w:rsidRPr="00EC52A1">
              <w:rPr>
                <w:rFonts w:eastAsia="Arial" w:cs="Noto Sans"/>
                <w:szCs w:val="18"/>
              </w:rPr>
              <w:t>Attend meetings, workshops and Gateway Reviews, as required.</w:t>
            </w:r>
          </w:p>
        </w:tc>
        <w:tc>
          <w:tcPr>
            <w:tcW w:w="3002" w:type="dxa"/>
            <w:hideMark/>
          </w:tcPr>
          <w:p w14:paraId="5E2EC2CF" w14:textId="77777777" w:rsidR="003C632B" w:rsidRPr="00EC52A1" w:rsidRDefault="003C632B" w:rsidP="00EC52A1">
            <w:pPr>
              <w:pStyle w:val="ListParagraph"/>
              <w:numPr>
                <w:ilvl w:val="0"/>
                <w:numId w:val="28"/>
              </w:numPr>
              <w:spacing w:before="60" w:after="60"/>
              <w:rPr>
                <w:rFonts w:eastAsia="Times New Roman" w:cs="Noto Sans"/>
              </w:rPr>
            </w:pPr>
            <w:r w:rsidRPr="00EC52A1">
              <w:rPr>
                <w:rFonts w:eastAsia="Arial" w:cs="Noto Sans"/>
                <w:szCs w:val="18"/>
              </w:rPr>
              <w:t>Input for briefing notes, reports and correspondence (as required).</w:t>
            </w:r>
          </w:p>
        </w:tc>
      </w:tr>
    </w:tbl>
    <w:p w14:paraId="3572AA80" w14:textId="77777777" w:rsidR="003C632B" w:rsidRPr="003C632B" w:rsidRDefault="003C632B" w:rsidP="00C324A9">
      <w:pPr>
        <w:pStyle w:val="Heading1"/>
        <w:widowControl/>
        <w:numPr>
          <w:ilvl w:val="0"/>
          <w:numId w:val="35"/>
        </w:numPr>
      </w:pPr>
      <w:r w:rsidRPr="003C632B">
        <w:t xml:space="preserve">Peer Review </w:t>
      </w:r>
    </w:p>
    <w:p w14:paraId="0B03C639" w14:textId="77777777" w:rsidR="003C632B" w:rsidRPr="003C632B" w:rsidRDefault="003C632B" w:rsidP="00C324A9">
      <w:pPr>
        <w:keepNext/>
        <w:spacing w:before="120"/>
        <w:rPr>
          <w:rFonts w:eastAsia="Arial" w:cs="Noto Sans"/>
          <w:bCs/>
          <w:szCs w:val="18"/>
        </w:rPr>
      </w:pPr>
      <w:r w:rsidRPr="003C632B">
        <w:rPr>
          <w:rFonts w:eastAsia="Arial" w:cs="Noto Sans"/>
          <w:bCs/>
          <w:szCs w:val="18"/>
        </w:rPr>
        <w:t xml:space="preserve">As part of the BCDF, key components of detailed business cases are required to have an independent peer review. This includes the financial and commercial analysis. </w:t>
      </w:r>
    </w:p>
    <w:p w14:paraId="2AD82464" w14:textId="77777777" w:rsidR="003C632B" w:rsidRPr="003C632B" w:rsidRDefault="003C632B" w:rsidP="00C324A9">
      <w:pPr>
        <w:keepNext/>
        <w:spacing w:before="120"/>
        <w:rPr>
          <w:rFonts w:eastAsia="Arial" w:cs="Noto Sans"/>
          <w:bCs/>
          <w:szCs w:val="18"/>
        </w:rPr>
      </w:pPr>
      <w:r w:rsidRPr="003C632B">
        <w:rPr>
          <w:rFonts w:eastAsia="Arial" w:cs="Noto Sans"/>
          <w:bCs/>
          <w:szCs w:val="18"/>
        </w:rPr>
        <w:t>There are two key milestones within the detailed business case (as reflected in the key deliverables above) to be peer reviewed:</w:t>
      </w:r>
    </w:p>
    <w:p w14:paraId="40F8E632" w14:textId="77777777" w:rsidR="003C632B" w:rsidRPr="00EC52A1" w:rsidRDefault="003C632B" w:rsidP="00C324A9">
      <w:pPr>
        <w:pStyle w:val="ListParagraph"/>
        <w:keepNext/>
        <w:numPr>
          <w:ilvl w:val="0"/>
          <w:numId w:val="20"/>
        </w:numPr>
        <w:spacing w:before="60" w:after="60"/>
        <w:rPr>
          <w:rFonts w:eastAsia="Arial" w:cs="Noto Sans"/>
          <w:szCs w:val="18"/>
        </w:rPr>
      </w:pPr>
      <w:r w:rsidRPr="00EC52A1">
        <w:rPr>
          <w:rFonts w:eastAsia="Arial" w:cs="Noto Sans"/>
          <w:szCs w:val="18"/>
        </w:rPr>
        <w:t xml:space="preserve">Methodology </w:t>
      </w:r>
    </w:p>
    <w:p w14:paraId="27A3EC26" w14:textId="77777777" w:rsidR="003C632B" w:rsidRPr="00EC52A1" w:rsidRDefault="003C632B" w:rsidP="00C324A9">
      <w:pPr>
        <w:pStyle w:val="ListParagraph"/>
        <w:keepNext/>
        <w:numPr>
          <w:ilvl w:val="0"/>
          <w:numId w:val="20"/>
        </w:numPr>
        <w:spacing w:before="60" w:after="60"/>
        <w:rPr>
          <w:rFonts w:eastAsia="Arial" w:cs="Noto Sans"/>
          <w:szCs w:val="18"/>
        </w:rPr>
      </w:pPr>
      <w:r w:rsidRPr="00EC52A1">
        <w:rPr>
          <w:rFonts w:eastAsia="Arial" w:cs="Noto Sans"/>
          <w:szCs w:val="18"/>
        </w:rPr>
        <w:t xml:space="preserve">Outputs (financial model, reports, related detailed business case chapters). </w:t>
      </w:r>
    </w:p>
    <w:p w14:paraId="56A73B6E" w14:textId="77777777" w:rsidR="003C632B" w:rsidRPr="003C632B" w:rsidRDefault="003C632B" w:rsidP="00C324A9">
      <w:pPr>
        <w:keepNext/>
        <w:spacing w:before="120"/>
        <w:rPr>
          <w:rFonts w:eastAsia="Arial" w:cs="Noto Sans"/>
          <w:bCs/>
          <w:szCs w:val="18"/>
        </w:rPr>
      </w:pPr>
      <w:r w:rsidRPr="003C632B">
        <w:rPr>
          <w:rFonts w:eastAsia="Arial" w:cs="Noto Sans"/>
          <w:bCs/>
          <w:szCs w:val="18"/>
        </w:rPr>
        <w:t xml:space="preserve">The peer reviewer will be appointed by </w:t>
      </w:r>
      <w:r w:rsidRPr="003C632B">
        <w:rPr>
          <w:rFonts w:eastAsia="Times New Roman" w:cs="Noto Sans"/>
          <w:szCs w:val="18"/>
          <w:highlight w:val="yellow"/>
          <w:lang w:eastAsia="en-AU"/>
        </w:rPr>
        <w:t>&lt;&lt; Agency Name&gt;&gt;</w:t>
      </w:r>
      <w:r w:rsidRPr="003C632B">
        <w:rPr>
          <w:rFonts w:eastAsia="Times New Roman" w:cs="Noto Sans"/>
          <w:szCs w:val="18"/>
          <w:lang w:eastAsia="en-AU"/>
        </w:rPr>
        <w:t xml:space="preserve"> and a</w:t>
      </w:r>
      <w:r w:rsidRPr="003C632B">
        <w:rPr>
          <w:rFonts w:eastAsia="Arial" w:cs="Noto Sans"/>
          <w:bCs/>
          <w:szCs w:val="18"/>
        </w:rPr>
        <w:t xml:space="preserve">ny interactions with the peer reviewer will be arranged by a </w:t>
      </w:r>
      <w:r w:rsidRPr="003C632B">
        <w:rPr>
          <w:rFonts w:eastAsia="Times New Roman" w:cs="Noto Sans"/>
          <w:szCs w:val="18"/>
          <w:highlight w:val="yellow"/>
          <w:lang w:eastAsia="en-AU"/>
        </w:rPr>
        <w:t>&lt;&lt; Agency Name&gt;&gt;</w:t>
      </w:r>
      <w:r w:rsidRPr="003C632B">
        <w:rPr>
          <w:rFonts w:eastAsia="Times New Roman" w:cs="Noto Sans"/>
          <w:szCs w:val="18"/>
          <w:lang w:eastAsia="en-AU"/>
        </w:rPr>
        <w:t xml:space="preserve"> </w:t>
      </w:r>
      <w:r w:rsidRPr="003C632B">
        <w:rPr>
          <w:rFonts w:eastAsia="Arial" w:cs="Noto Sans"/>
          <w:bCs/>
          <w:szCs w:val="18"/>
        </w:rPr>
        <w:t xml:space="preserve">representative. </w:t>
      </w:r>
    </w:p>
    <w:p w14:paraId="689FCBB1" w14:textId="30C0E7D9" w:rsidR="003C632B" w:rsidRPr="003C632B" w:rsidRDefault="003C632B" w:rsidP="00C324A9">
      <w:pPr>
        <w:pStyle w:val="Heading1"/>
        <w:widowControl/>
        <w:numPr>
          <w:ilvl w:val="0"/>
          <w:numId w:val="35"/>
        </w:numPr>
      </w:pPr>
      <w:r w:rsidRPr="003C632B">
        <w:t xml:space="preserve">Business Case </w:t>
      </w:r>
      <w:r w:rsidR="00A833B9">
        <w:t>c</w:t>
      </w:r>
      <w:r w:rsidRPr="003C632B">
        <w:t xml:space="preserve">hapter </w:t>
      </w:r>
      <w:r w:rsidR="00A833B9">
        <w:t>d</w:t>
      </w:r>
      <w:r w:rsidRPr="003C632B">
        <w:t>evelopment</w:t>
      </w:r>
    </w:p>
    <w:p w14:paraId="5556323F" w14:textId="2F5192C9" w:rsidR="003C632B" w:rsidRPr="003C632B" w:rsidRDefault="003C632B" w:rsidP="00C324A9">
      <w:pPr>
        <w:keepNext/>
        <w:spacing w:before="120"/>
        <w:rPr>
          <w:rFonts w:eastAsia="Arial" w:cs="Noto Sans"/>
          <w:szCs w:val="18"/>
        </w:rPr>
      </w:pPr>
      <w:r w:rsidRPr="003C632B">
        <w:rPr>
          <w:rFonts w:eastAsia="Arial" w:cs="Noto Sans"/>
          <w:szCs w:val="18"/>
        </w:rPr>
        <w:fldChar w:fldCharType="begin"/>
      </w:r>
      <w:r w:rsidRPr="003C632B">
        <w:rPr>
          <w:rFonts w:eastAsia="Arial" w:cs="Noto Sans"/>
          <w:szCs w:val="18"/>
        </w:rPr>
        <w:instrText xml:space="preserve"> REF _Ref76118634 \h </w:instrText>
      </w:r>
      <w:r w:rsidR="00EC52A1" w:rsidRPr="00EC52A1">
        <w:rPr>
          <w:rFonts w:eastAsia="Arial" w:cs="Noto Sans"/>
          <w:szCs w:val="18"/>
        </w:rPr>
        <w:instrText xml:space="preserve"> \* MERGEFORMAT </w:instrText>
      </w:r>
      <w:r w:rsidRPr="003C632B">
        <w:rPr>
          <w:rFonts w:eastAsia="Arial" w:cs="Noto Sans"/>
          <w:szCs w:val="18"/>
        </w:rPr>
      </w:r>
      <w:r w:rsidRPr="003C632B">
        <w:rPr>
          <w:rFonts w:eastAsia="Arial" w:cs="Noto Sans"/>
          <w:szCs w:val="18"/>
        </w:rPr>
        <w:fldChar w:fldCharType="separate"/>
      </w:r>
      <w:r w:rsidRPr="003C632B">
        <w:rPr>
          <w:rFonts w:eastAsia="Arial" w:cs="Noto Sans"/>
          <w:szCs w:val="18"/>
        </w:rPr>
        <w:t xml:space="preserve">Table </w:t>
      </w:r>
      <w:r w:rsidRPr="003C632B">
        <w:rPr>
          <w:rFonts w:eastAsia="Arial" w:cs="Noto Sans"/>
          <w:noProof/>
          <w:szCs w:val="18"/>
        </w:rPr>
        <w:t>2</w:t>
      </w:r>
      <w:r w:rsidRPr="003C632B">
        <w:rPr>
          <w:rFonts w:eastAsia="Arial" w:cs="Noto Sans"/>
          <w:szCs w:val="18"/>
        </w:rPr>
        <w:fldChar w:fldCharType="end"/>
      </w:r>
      <w:r w:rsidRPr="003C632B">
        <w:rPr>
          <w:rFonts w:eastAsia="Arial" w:cs="Noto Sans"/>
          <w:szCs w:val="18"/>
        </w:rPr>
        <w:t xml:space="preserve"> outlines the anticipated chapters in the business case and the responsible authors. </w:t>
      </w:r>
    </w:p>
    <w:p w14:paraId="66D278C5" w14:textId="77777777" w:rsidR="003C632B" w:rsidRPr="003C632B" w:rsidRDefault="003C632B" w:rsidP="00C324A9">
      <w:pPr>
        <w:keepNext/>
        <w:spacing w:before="120"/>
        <w:rPr>
          <w:rFonts w:eastAsia="Arial" w:cs="Noto Sans"/>
          <w:szCs w:val="18"/>
        </w:rPr>
      </w:pPr>
      <w:r w:rsidRPr="003C632B">
        <w:rPr>
          <w:rFonts w:eastAsia="Arial" w:cs="Noto Sans"/>
          <w:szCs w:val="18"/>
        </w:rPr>
        <w:t>The Business Case Management Services resources will oversee the integration of draft chapters from all specialist advisors to achieve a consistently styled and authored business case.</w:t>
      </w:r>
    </w:p>
    <w:p w14:paraId="33700E42" w14:textId="77777777" w:rsidR="003C632B" w:rsidRPr="003C632B" w:rsidRDefault="003C632B" w:rsidP="00C324A9">
      <w:pPr>
        <w:keepNext/>
        <w:tabs>
          <w:tab w:val="left" w:pos="1418"/>
        </w:tabs>
        <w:spacing w:before="60" w:after="60"/>
        <w:ind w:left="1418" w:hanging="1418"/>
        <w:rPr>
          <w:rFonts w:eastAsia="Arial" w:cs="Noto Sans"/>
          <w:b/>
          <w:bCs/>
          <w:szCs w:val="18"/>
        </w:rPr>
      </w:pPr>
      <w:bookmarkStart w:id="8" w:name="_Ref76118634"/>
      <w:r w:rsidRPr="003C632B">
        <w:rPr>
          <w:rFonts w:eastAsia="Arial" w:cs="Noto Sans"/>
          <w:b/>
          <w:bCs/>
          <w:szCs w:val="18"/>
        </w:rPr>
        <w:t xml:space="preserve">Table </w:t>
      </w:r>
      <w:r w:rsidRPr="003C632B">
        <w:rPr>
          <w:rFonts w:eastAsia="Arial" w:cs="Noto Sans"/>
          <w:b/>
          <w:bCs/>
          <w:szCs w:val="18"/>
        </w:rPr>
        <w:fldChar w:fldCharType="begin"/>
      </w:r>
      <w:r w:rsidRPr="003C632B">
        <w:rPr>
          <w:rFonts w:eastAsia="Arial" w:cs="Noto Sans"/>
          <w:b/>
          <w:bCs/>
          <w:szCs w:val="18"/>
        </w:rPr>
        <w:instrText xml:space="preserve"> SEQ Table \* ARABIC </w:instrText>
      </w:r>
      <w:r w:rsidRPr="003C632B">
        <w:rPr>
          <w:rFonts w:eastAsia="Arial" w:cs="Noto Sans"/>
          <w:b/>
          <w:bCs/>
          <w:szCs w:val="18"/>
        </w:rPr>
        <w:fldChar w:fldCharType="separate"/>
      </w:r>
      <w:r w:rsidRPr="003C632B">
        <w:rPr>
          <w:rFonts w:eastAsia="Arial" w:cs="Noto Sans"/>
          <w:b/>
          <w:bCs/>
          <w:noProof/>
          <w:szCs w:val="18"/>
        </w:rPr>
        <w:t>2</w:t>
      </w:r>
      <w:r w:rsidRPr="003C632B">
        <w:rPr>
          <w:rFonts w:eastAsia="Arial" w:cs="Noto Sans"/>
          <w:b/>
          <w:bCs/>
          <w:szCs w:val="18"/>
        </w:rPr>
        <w:fldChar w:fldCharType="end"/>
      </w:r>
      <w:bookmarkEnd w:id="8"/>
      <w:r w:rsidRPr="003C632B">
        <w:rPr>
          <w:rFonts w:eastAsia="Arial" w:cs="Noto Sans"/>
          <w:b/>
          <w:bCs/>
          <w:szCs w:val="18"/>
        </w:rPr>
        <w:t>: Detailed Business Case Chapters and Authors</w:t>
      </w:r>
    </w:p>
    <w:tbl>
      <w:tblPr>
        <w:tblStyle w:val="Table-QldBlue"/>
        <w:tblW w:w="5100" w:type="pct"/>
        <w:tblLayout w:type="fixed"/>
        <w:tblLook w:val="0620" w:firstRow="1" w:lastRow="0" w:firstColumn="0" w:lastColumn="0" w:noHBand="1" w:noVBand="1"/>
      </w:tblPr>
      <w:tblGrid>
        <w:gridCol w:w="846"/>
        <w:gridCol w:w="2621"/>
        <w:gridCol w:w="7072"/>
        <w:gridCol w:w="151"/>
      </w:tblGrid>
      <w:tr w:rsidR="003C632B" w:rsidRPr="003C632B" w14:paraId="0949DEA1" w14:textId="77777777" w:rsidTr="003C632B">
        <w:trPr>
          <w:cnfStyle w:val="100000000000" w:firstRow="1" w:lastRow="0" w:firstColumn="0" w:lastColumn="0" w:oddVBand="0" w:evenVBand="0" w:oddHBand="0" w:evenHBand="0" w:firstRowFirstColumn="0" w:firstRowLastColumn="0" w:lastRowFirstColumn="0" w:lastRowLastColumn="0"/>
        </w:trPr>
        <w:tc>
          <w:tcPr>
            <w:tcW w:w="3467" w:type="dxa"/>
            <w:gridSpan w:val="2"/>
            <w:hideMark/>
          </w:tcPr>
          <w:p w14:paraId="6CDFDB02" w14:textId="0BEA1B88" w:rsidR="003C632B" w:rsidRPr="003C632B" w:rsidRDefault="003C632B" w:rsidP="003C632B">
            <w:pPr>
              <w:keepNext/>
              <w:keepLines/>
              <w:spacing w:before="80" w:after="80"/>
              <w:ind w:left="113" w:right="113"/>
              <w:rPr>
                <w:rFonts w:eastAsia="Arial" w:cs="Noto Sans"/>
                <w:caps/>
                <w:color w:val="FFFFFF" w:themeColor="background1"/>
                <w:szCs w:val="18"/>
              </w:rPr>
            </w:pPr>
            <w:r w:rsidRPr="003C632B">
              <w:rPr>
                <w:rFonts w:eastAsia="Arial" w:cs="Noto Sans"/>
                <w:caps/>
                <w:color w:val="FFFFFF" w:themeColor="background1"/>
                <w:szCs w:val="18"/>
              </w:rPr>
              <w:t>C</w:t>
            </w:r>
            <w:r w:rsidR="00D5378B" w:rsidRPr="003C632B">
              <w:rPr>
                <w:rFonts w:eastAsia="Arial" w:cs="Noto Sans"/>
                <w:color w:val="FFFFFF" w:themeColor="background1"/>
                <w:szCs w:val="18"/>
              </w:rPr>
              <w:t>hapter</w:t>
            </w:r>
          </w:p>
        </w:tc>
        <w:tc>
          <w:tcPr>
            <w:tcW w:w="7223" w:type="dxa"/>
            <w:gridSpan w:val="2"/>
            <w:hideMark/>
          </w:tcPr>
          <w:p w14:paraId="62E1BE2E" w14:textId="34C3D3F5" w:rsidR="003C632B" w:rsidRPr="003C632B" w:rsidRDefault="00D5378B" w:rsidP="003C632B">
            <w:pPr>
              <w:keepNext/>
              <w:keepLines/>
              <w:spacing w:before="80" w:after="80"/>
              <w:ind w:left="113" w:right="113"/>
              <w:rPr>
                <w:rFonts w:eastAsia="Arial" w:cs="Noto Sans"/>
                <w:caps/>
                <w:color w:val="FFFFFF" w:themeColor="background1"/>
                <w:szCs w:val="18"/>
              </w:rPr>
            </w:pPr>
            <w:r w:rsidRPr="003C632B">
              <w:rPr>
                <w:rFonts w:eastAsia="Arial" w:cs="Noto Sans"/>
                <w:color w:val="FFFFFF" w:themeColor="background1"/>
                <w:szCs w:val="18"/>
              </w:rPr>
              <w:t xml:space="preserve">Author </w:t>
            </w:r>
          </w:p>
        </w:tc>
      </w:tr>
      <w:tr w:rsidR="003C632B" w:rsidRPr="003C632B" w14:paraId="766A2517" w14:textId="77777777" w:rsidTr="00D5378B">
        <w:trPr>
          <w:gridAfter w:val="1"/>
          <w:wAfter w:w="151" w:type="dxa"/>
        </w:trPr>
        <w:tc>
          <w:tcPr>
            <w:tcW w:w="846" w:type="dxa"/>
            <w:shd w:val="clear" w:color="auto" w:fill="E6E6E6"/>
            <w:hideMark/>
          </w:tcPr>
          <w:p w14:paraId="71EE79E3" w14:textId="77777777" w:rsidR="003C632B" w:rsidRPr="008D54C5" w:rsidRDefault="003C632B" w:rsidP="003C632B">
            <w:pPr>
              <w:spacing w:before="60" w:after="60"/>
              <w:ind w:left="22" w:right="69"/>
              <w:jc w:val="right"/>
              <w:rPr>
                <w:rFonts w:eastAsia="Arial" w:cs="Noto Sans"/>
                <w:b/>
                <w:bCs/>
                <w:szCs w:val="18"/>
                <w:highlight w:val="yellow"/>
              </w:rPr>
            </w:pPr>
            <w:r w:rsidRPr="008D54C5">
              <w:rPr>
                <w:rFonts w:eastAsia="Arial" w:cs="Noto Sans"/>
                <w:b/>
                <w:bCs/>
                <w:szCs w:val="18"/>
                <w:highlight w:val="yellow"/>
              </w:rPr>
              <w:t>-</w:t>
            </w:r>
          </w:p>
        </w:tc>
        <w:tc>
          <w:tcPr>
            <w:tcW w:w="2621" w:type="dxa"/>
            <w:hideMark/>
          </w:tcPr>
          <w:p w14:paraId="64C6EA88"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Executive Summary</w:t>
            </w:r>
          </w:p>
        </w:tc>
        <w:tc>
          <w:tcPr>
            <w:tcW w:w="7072" w:type="dxa"/>
            <w:hideMark/>
          </w:tcPr>
          <w:p w14:paraId="3E2040FE"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Business Case Management Services resources</w:t>
            </w:r>
          </w:p>
        </w:tc>
      </w:tr>
      <w:tr w:rsidR="003C632B" w:rsidRPr="003C632B" w14:paraId="4040678B" w14:textId="77777777" w:rsidTr="00D5378B">
        <w:trPr>
          <w:gridAfter w:val="1"/>
          <w:wAfter w:w="151" w:type="dxa"/>
        </w:trPr>
        <w:tc>
          <w:tcPr>
            <w:tcW w:w="846" w:type="dxa"/>
            <w:shd w:val="clear" w:color="auto" w:fill="E6E6E6"/>
            <w:hideMark/>
          </w:tcPr>
          <w:p w14:paraId="611DD4DF"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1</w:t>
            </w:r>
          </w:p>
        </w:tc>
        <w:tc>
          <w:tcPr>
            <w:tcW w:w="2621" w:type="dxa"/>
            <w:hideMark/>
          </w:tcPr>
          <w:p w14:paraId="507C500B"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Proposal Background</w:t>
            </w:r>
          </w:p>
        </w:tc>
        <w:tc>
          <w:tcPr>
            <w:tcW w:w="7072" w:type="dxa"/>
            <w:hideMark/>
          </w:tcPr>
          <w:p w14:paraId="4C179874"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Business Case Management Services resources</w:t>
            </w:r>
          </w:p>
        </w:tc>
      </w:tr>
      <w:tr w:rsidR="003C632B" w:rsidRPr="003C632B" w14:paraId="3C316B5E" w14:textId="77777777" w:rsidTr="00D5378B">
        <w:trPr>
          <w:gridAfter w:val="1"/>
          <w:wAfter w:w="151" w:type="dxa"/>
        </w:trPr>
        <w:tc>
          <w:tcPr>
            <w:tcW w:w="846" w:type="dxa"/>
            <w:shd w:val="clear" w:color="auto" w:fill="E6E6E6"/>
            <w:hideMark/>
          </w:tcPr>
          <w:p w14:paraId="01D10B54"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2</w:t>
            </w:r>
          </w:p>
        </w:tc>
        <w:tc>
          <w:tcPr>
            <w:tcW w:w="2621" w:type="dxa"/>
            <w:hideMark/>
          </w:tcPr>
          <w:p w14:paraId="4BAC4219"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Governance and Assurance</w:t>
            </w:r>
          </w:p>
        </w:tc>
        <w:tc>
          <w:tcPr>
            <w:tcW w:w="7072" w:type="dxa"/>
            <w:hideMark/>
          </w:tcPr>
          <w:p w14:paraId="2A7095D9"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Business Case Management Services resources</w:t>
            </w:r>
          </w:p>
        </w:tc>
      </w:tr>
      <w:tr w:rsidR="003C632B" w:rsidRPr="003C632B" w14:paraId="1657C120" w14:textId="77777777" w:rsidTr="00D5378B">
        <w:trPr>
          <w:gridAfter w:val="1"/>
          <w:wAfter w:w="151" w:type="dxa"/>
        </w:trPr>
        <w:tc>
          <w:tcPr>
            <w:tcW w:w="846" w:type="dxa"/>
            <w:shd w:val="clear" w:color="auto" w:fill="E6E6E6"/>
            <w:hideMark/>
          </w:tcPr>
          <w:p w14:paraId="4EF0BE34"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3</w:t>
            </w:r>
          </w:p>
        </w:tc>
        <w:tc>
          <w:tcPr>
            <w:tcW w:w="2621" w:type="dxa"/>
            <w:hideMark/>
          </w:tcPr>
          <w:p w14:paraId="04BDAE8E"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Service Need</w:t>
            </w:r>
          </w:p>
        </w:tc>
        <w:tc>
          <w:tcPr>
            <w:tcW w:w="7072" w:type="dxa"/>
            <w:hideMark/>
          </w:tcPr>
          <w:p w14:paraId="7BDE3302"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Business Case Management Services resources</w:t>
            </w:r>
          </w:p>
        </w:tc>
      </w:tr>
      <w:tr w:rsidR="003C632B" w:rsidRPr="003C632B" w14:paraId="7959EC62" w14:textId="77777777" w:rsidTr="00D5378B">
        <w:trPr>
          <w:gridAfter w:val="1"/>
          <w:wAfter w:w="151" w:type="dxa"/>
        </w:trPr>
        <w:tc>
          <w:tcPr>
            <w:tcW w:w="846" w:type="dxa"/>
            <w:shd w:val="clear" w:color="auto" w:fill="E6E6E6"/>
            <w:hideMark/>
          </w:tcPr>
          <w:p w14:paraId="3F98A398"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4</w:t>
            </w:r>
          </w:p>
        </w:tc>
        <w:tc>
          <w:tcPr>
            <w:tcW w:w="2621" w:type="dxa"/>
            <w:hideMark/>
          </w:tcPr>
          <w:p w14:paraId="5DC8D62F"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Strategic Consideration</w:t>
            </w:r>
          </w:p>
        </w:tc>
        <w:tc>
          <w:tcPr>
            <w:tcW w:w="7072" w:type="dxa"/>
            <w:hideMark/>
          </w:tcPr>
          <w:p w14:paraId="7CCDAC5A"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Business Case Management Services resources</w:t>
            </w:r>
          </w:p>
        </w:tc>
      </w:tr>
      <w:tr w:rsidR="003C632B" w:rsidRPr="003C632B" w14:paraId="2106F7BE" w14:textId="77777777" w:rsidTr="00D5378B">
        <w:trPr>
          <w:gridAfter w:val="1"/>
          <w:wAfter w:w="151" w:type="dxa"/>
        </w:trPr>
        <w:tc>
          <w:tcPr>
            <w:tcW w:w="846" w:type="dxa"/>
            <w:shd w:val="clear" w:color="auto" w:fill="E6E6E6"/>
            <w:hideMark/>
          </w:tcPr>
          <w:p w14:paraId="09CE56D4"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5</w:t>
            </w:r>
          </w:p>
        </w:tc>
        <w:tc>
          <w:tcPr>
            <w:tcW w:w="2621" w:type="dxa"/>
            <w:hideMark/>
          </w:tcPr>
          <w:p w14:paraId="4BE5B3CB"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Risk</w:t>
            </w:r>
          </w:p>
        </w:tc>
        <w:tc>
          <w:tcPr>
            <w:tcW w:w="7072" w:type="dxa"/>
            <w:hideMark/>
          </w:tcPr>
          <w:p w14:paraId="462F561A"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Business Case Management Services resources</w:t>
            </w:r>
          </w:p>
        </w:tc>
      </w:tr>
      <w:tr w:rsidR="003C632B" w:rsidRPr="003C632B" w14:paraId="22133524" w14:textId="77777777" w:rsidTr="00D5378B">
        <w:trPr>
          <w:gridAfter w:val="1"/>
          <w:wAfter w:w="151" w:type="dxa"/>
        </w:trPr>
        <w:tc>
          <w:tcPr>
            <w:tcW w:w="846" w:type="dxa"/>
            <w:shd w:val="clear" w:color="auto" w:fill="E6E6E6"/>
            <w:hideMark/>
          </w:tcPr>
          <w:p w14:paraId="235AF4C3"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6</w:t>
            </w:r>
          </w:p>
        </w:tc>
        <w:tc>
          <w:tcPr>
            <w:tcW w:w="2621" w:type="dxa"/>
            <w:hideMark/>
          </w:tcPr>
          <w:p w14:paraId="736CB447"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Base Case</w:t>
            </w:r>
          </w:p>
        </w:tc>
        <w:tc>
          <w:tcPr>
            <w:tcW w:w="7072" w:type="dxa"/>
            <w:hideMark/>
          </w:tcPr>
          <w:p w14:paraId="2C4D0706"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Economics advisor</w:t>
            </w:r>
          </w:p>
        </w:tc>
      </w:tr>
      <w:tr w:rsidR="003C632B" w:rsidRPr="003C632B" w14:paraId="00EDE90A" w14:textId="77777777" w:rsidTr="00D5378B">
        <w:trPr>
          <w:gridAfter w:val="1"/>
          <w:wAfter w:w="151" w:type="dxa"/>
        </w:trPr>
        <w:tc>
          <w:tcPr>
            <w:tcW w:w="846" w:type="dxa"/>
            <w:shd w:val="clear" w:color="auto" w:fill="E6E6E6"/>
            <w:hideMark/>
          </w:tcPr>
          <w:p w14:paraId="55EA7640"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7</w:t>
            </w:r>
          </w:p>
        </w:tc>
        <w:tc>
          <w:tcPr>
            <w:tcW w:w="2621" w:type="dxa"/>
            <w:hideMark/>
          </w:tcPr>
          <w:p w14:paraId="1EC75CBA"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Reference Project</w:t>
            </w:r>
          </w:p>
        </w:tc>
        <w:tc>
          <w:tcPr>
            <w:tcW w:w="7072" w:type="dxa"/>
            <w:hideMark/>
          </w:tcPr>
          <w:p w14:paraId="613D1F7D"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 xml:space="preserve">Technical advisor </w:t>
            </w:r>
          </w:p>
        </w:tc>
      </w:tr>
      <w:tr w:rsidR="003C632B" w:rsidRPr="003C632B" w14:paraId="0AF7D9D2" w14:textId="77777777" w:rsidTr="00D5378B">
        <w:trPr>
          <w:gridAfter w:val="1"/>
          <w:wAfter w:w="151" w:type="dxa"/>
        </w:trPr>
        <w:tc>
          <w:tcPr>
            <w:tcW w:w="846" w:type="dxa"/>
            <w:shd w:val="clear" w:color="auto" w:fill="E6E6E6"/>
            <w:hideMark/>
          </w:tcPr>
          <w:p w14:paraId="4211C3F4"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8</w:t>
            </w:r>
          </w:p>
        </w:tc>
        <w:tc>
          <w:tcPr>
            <w:tcW w:w="2621" w:type="dxa"/>
            <w:hideMark/>
          </w:tcPr>
          <w:p w14:paraId="3E973EA2"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Legal &amp; Regulatory</w:t>
            </w:r>
          </w:p>
        </w:tc>
        <w:tc>
          <w:tcPr>
            <w:tcW w:w="7072" w:type="dxa"/>
            <w:hideMark/>
          </w:tcPr>
          <w:p w14:paraId="4B4AADBC"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Legal Advisor</w:t>
            </w:r>
          </w:p>
        </w:tc>
      </w:tr>
      <w:tr w:rsidR="003C632B" w:rsidRPr="003C632B" w14:paraId="36BCD413" w14:textId="77777777" w:rsidTr="00D5378B">
        <w:trPr>
          <w:gridAfter w:val="1"/>
          <w:wAfter w:w="151" w:type="dxa"/>
        </w:trPr>
        <w:tc>
          <w:tcPr>
            <w:tcW w:w="846" w:type="dxa"/>
            <w:shd w:val="clear" w:color="auto" w:fill="E6E6E6"/>
            <w:hideMark/>
          </w:tcPr>
          <w:p w14:paraId="616BFC91"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9</w:t>
            </w:r>
          </w:p>
        </w:tc>
        <w:tc>
          <w:tcPr>
            <w:tcW w:w="2621" w:type="dxa"/>
            <w:hideMark/>
          </w:tcPr>
          <w:p w14:paraId="06C5381F"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Public Interest Considerations</w:t>
            </w:r>
          </w:p>
        </w:tc>
        <w:tc>
          <w:tcPr>
            <w:tcW w:w="7072" w:type="dxa"/>
            <w:hideMark/>
          </w:tcPr>
          <w:p w14:paraId="5706B0E3"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Social Impact advisor</w:t>
            </w:r>
          </w:p>
        </w:tc>
      </w:tr>
      <w:tr w:rsidR="003C632B" w:rsidRPr="003C632B" w14:paraId="069AE5CB" w14:textId="77777777" w:rsidTr="00D5378B">
        <w:trPr>
          <w:gridAfter w:val="1"/>
          <w:wAfter w:w="151" w:type="dxa"/>
        </w:trPr>
        <w:tc>
          <w:tcPr>
            <w:tcW w:w="846" w:type="dxa"/>
            <w:shd w:val="clear" w:color="auto" w:fill="E6E6E6"/>
            <w:hideMark/>
          </w:tcPr>
          <w:p w14:paraId="0520AE0E"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10</w:t>
            </w:r>
          </w:p>
        </w:tc>
        <w:tc>
          <w:tcPr>
            <w:tcW w:w="2621" w:type="dxa"/>
            <w:hideMark/>
          </w:tcPr>
          <w:p w14:paraId="51C1F7B2"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Sustainability Assessment</w:t>
            </w:r>
          </w:p>
        </w:tc>
        <w:tc>
          <w:tcPr>
            <w:tcW w:w="7072" w:type="dxa"/>
            <w:hideMark/>
          </w:tcPr>
          <w:p w14:paraId="194852BD"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Sustainability advisor</w:t>
            </w:r>
          </w:p>
        </w:tc>
      </w:tr>
      <w:tr w:rsidR="003C632B" w:rsidRPr="003C632B" w14:paraId="27EF31A8" w14:textId="77777777" w:rsidTr="00D5378B">
        <w:trPr>
          <w:gridAfter w:val="1"/>
          <w:wAfter w:w="151" w:type="dxa"/>
        </w:trPr>
        <w:tc>
          <w:tcPr>
            <w:tcW w:w="846" w:type="dxa"/>
            <w:shd w:val="clear" w:color="auto" w:fill="E6E6E6"/>
            <w:hideMark/>
          </w:tcPr>
          <w:p w14:paraId="7F6E5B02"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11</w:t>
            </w:r>
          </w:p>
        </w:tc>
        <w:tc>
          <w:tcPr>
            <w:tcW w:w="2621" w:type="dxa"/>
            <w:hideMark/>
          </w:tcPr>
          <w:p w14:paraId="47A659C1"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Social Impact Evaluation</w:t>
            </w:r>
          </w:p>
        </w:tc>
        <w:tc>
          <w:tcPr>
            <w:tcW w:w="7072" w:type="dxa"/>
            <w:hideMark/>
          </w:tcPr>
          <w:p w14:paraId="53CE2F08"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Social Impact advisor</w:t>
            </w:r>
          </w:p>
        </w:tc>
      </w:tr>
      <w:tr w:rsidR="003C632B" w:rsidRPr="003C632B" w14:paraId="5FDC23D2" w14:textId="77777777" w:rsidTr="00D5378B">
        <w:trPr>
          <w:gridAfter w:val="1"/>
          <w:wAfter w:w="151" w:type="dxa"/>
        </w:trPr>
        <w:tc>
          <w:tcPr>
            <w:tcW w:w="846" w:type="dxa"/>
            <w:shd w:val="clear" w:color="auto" w:fill="E6E6E6"/>
            <w:hideMark/>
          </w:tcPr>
          <w:p w14:paraId="1E50B527"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12</w:t>
            </w:r>
          </w:p>
        </w:tc>
        <w:tc>
          <w:tcPr>
            <w:tcW w:w="2621" w:type="dxa"/>
            <w:hideMark/>
          </w:tcPr>
          <w:p w14:paraId="194258B6"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Environmental Assessment</w:t>
            </w:r>
          </w:p>
        </w:tc>
        <w:tc>
          <w:tcPr>
            <w:tcW w:w="7072" w:type="dxa"/>
            <w:hideMark/>
          </w:tcPr>
          <w:p w14:paraId="2151F2CB"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Environmental advisor or Technical advisor</w:t>
            </w:r>
          </w:p>
        </w:tc>
      </w:tr>
      <w:tr w:rsidR="003C632B" w:rsidRPr="003C632B" w14:paraId="37586D4D" w14:textId="77777777" w:rsidTr="00D5378B">
        <w:trPr>
          <w:gridAfter w:val="1"/>
          <w:wAfter w:w="151" w:type="dxa"/>
        </w:trPr>
        <w:tc>
          <w:tcPr>
            <w:tcW w:w="846" w:type="dxa"/>
            <w:shd w:val="clear" w:color="auto" w:fill="E6E6E6"/>
            <w:hideMark/>
          </w:tcPr>
          <w:p w14:paraId="1B571379"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13</w:t>
            </w:r>
          </w:p>
        </w:tc>
        <w:tc>
          <w:tcPr>
            <w:tcW w:w="2621" w:type="dxa"/>
            <w:hideMark/>
          </w:tcPr>
          <w:p w14:paraId="7692B6CF"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Economic Analysis</w:t>
            </w:r>
          </w:p>
        </w:tc>
        <w:tc>
          <w:tcPr>
            <w:tcW w:w="7072" w:type="dxa"/>
            <w:hideMark/>
          </w:tcPr>
          <w:p w14:paraId="757C29B1"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 xml:space="preserve">Economics advisor </w:t>
            </w:r>
          </w:p>
        </w:tc>
      </w:tr>
      <w:tr w:rsidR="003C632B" w:rsidRPr="003C632B" w14:paraId="4DC57B13" w14:textId="77777777" w:rsidTr="00D5378B">
        <w:trPr>
          <w:gridAfter w:val="1"/>
          <w:wAfter w:w="151" w:type="dxa"/>
        </w:trPr>
        <w:tc>
          <w:tcPr>
            <w:tcW w:w="846" w:type="dxa"/>
            <w:shd w:val="clear" w:color="auto" w:fill="E6E6E6"/>
            <w:hideMark/>
          </w:tcPr>
          <w:p w14:paraId="56660281"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14</w:t>
            </w:r>
          </w:p>
        </w:tc>
        <w:tc>
          <w:tcPr>
            <w:tcW w:w="2621" w:type="dxa"/>
            <w:hideMark/>
          </w:tcPr>
          <w:p w14:paraId="227AFF68"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Financial and Commercial</w:t>
            </w:r>
          </w:p>
        </w:tc>
        <w:tc>
          <w:tcPr>
            <w:tcW w:w="7072" w:type="dxa"/>
            <w:hideMark/>
          </w:tcPr>
          <w:p w14:paraId="63A50BE0" w14:textId="77777777" w:rsidR="003C632B" w:rsidRPr="003C632B" w:rsidRDefault="003C632B" w:rsidP="003C632B">
            <w:pPr>
              <w:spacing w:before="60" w:after="60"/>
              <w:ind w:left="113" w:right="113"/>
              <w:rPr>
                <w:rFonts w:eastAsia="Arial" w:cs="Noto Sans"/>
                <w:b/>
                <w:bCs/>
                <w:szCs w:val="18"/>
                <w:highlight w:val="yellow"/>
              </w:rPr>
            </w:pPr>
            <w:r w:rsidRPr="003C632B">
              <w:rPr>
                <w:rFonts w:eastAsia="Arial" w:cs="Noto Sans"/>
                <w:b/>
                <w:bCs/>
                <w:szCs w:val="18"/>
                <w:highlight w:val="yellow"/>
              </w:rPr>
              <w:t xml:space="preserve">Financial-Commercial advisor </w:t>
            </w:r>
          </w:p>
        </w:tc>
      </w:tr>
      <w:tr w:rsidR="003C632B" w:rsidRPr="003C632B" w14:paraId="69F9709F" w14:textId="77777777" w:rsidTr="00D5378B">
        <w:trPr>
          <w:gridAfter w:val="1"/>
          <w:wAfter w:w="151" w:type="dxa"/>
        </w:trPr>
        <w:tc>
          <w:tcPr>
            <w:tcW w:w="846" w:type="dxa"/>
            <w:shd w:val="clear" w:color="auto" w:fill="E6E6E6"/>
            <w:hideMark/>
          </w:tcPr>
          <w:p w14:paraId="2C0F548E"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15</w:t>
            </w:r>
          </w:p>
        </w:tc>
        <w:tc>
          <w:tcPr>
            <w:tcW w:w="2621" w:type="dxa"/>
            <w:hideMark/>
          </w:tcPr>
          <w:p w14:paraId="632B9E74"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Affordability Analysis</w:t>
            </w:r>
          </w:p>
        </w:tc>
        <w:tc>
          <w:tcPr>
            <w:tcW w:w="7072" w:type="dxa"/>
            <w:hideMark/>
          </w:tcPr>
          <w:p w14:paraId="1B6AC44D" w14:textId="77777777" w:rsidR="003C632B" w:rsidRPr="003C632B" w:rsidRDefault="003C632B" w:rsidP="003C632B">
            <w:pPr>
              <w:spacing w:before="60" w:after="60"/>
              <w:ind w:left="113" w:right="113"/>
              <w:rPr>
                <w:rFonts w:eastAsia="Arial" w:cs="Noto Sans"/>
                <w:b/>
                <w:bCs/>
                <w:szCs w:val="18"/>
                <w:highlight w:val="yellow"/>
              </w:rPr>
            </w:pPr>
            <w:r w:rsidRPr="003C632B">
              <w:rPr>
                <w:rFonts w:eastAsia="Arial" w:cs="Noto Sans"/>
                <w:b/>
                <w:bCs/>
                <w:szCs w:val="18"/>
                <w:highlight w:val="yellow"/>
              </w:rPr>
              <w:t xml:space="preserve">Financial-Commercial advisor </w:t>
            </w:r>
          </w:p>
        </w:tc>
      </w:tr>
      <w:tr w:rsidR="003C632B" w:rsidRPr="003C632B" w14:paraId="6895F186" w14:textId="77777777" w:rsidTr="00D5378B">
        <w:trPr>
          <w:gridAfter w:val="1"/>
          <w:wAfter w:w="151" w:type="dxa"/>
        </w:trPr>
        <w:tc>
          <w:tcPr>
            <w:tcW w:w="846" w:type="dxa"/>
            <w:shd w:val="clear" w:color="auto" w:fill="E6E6E6"/>
            <w:hideMark/>
          </w:tcPr>
          <w:p w14:paraId="21627BE0"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16</w:t>
            </w:r>
          </w:p>
        </w:tc>
        <w:tc>
          <w:tcPr>
            <w:tcW w:w="2621" w:type="dxa"/>
            <w:hideMark/>
          </w:tcPr>
          <w:p w14:paraId="5A36FA5E"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Appraisal Summary Table</w:t>
            </w:r>
          </w:p>
        </w:tc>
        <w:tc>
          <w:tcPr>
            <w:tcW w:w="7072" w:type="dxa"/>
            <w:hideMark/>
          </w:tcPr>
          <w:p w14:paraId="0A2FD89F"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Business Case Management Services resources</w:t>
            </w:r>
          </w:p>
        </w:tc>
      </w:tr>
      <w:tr w:rsidR="003C632B" w:rsidRPr="003C632B" w14:paraId="5DA1460C" w14:textId="77777777" w:rsidTr="00D5378B">
        <w:trPr>
          <w:gridAfter w:val="1"/>
          <w:wAfter w:w="151" w:type="dxa"/>
        </w:trPr>
        <w:tc>
          <w:tcPr>
            <w:tcW w:w="846" w:type="dxa"/>
            <w:shd w:val="clear" w:color="auto" w:fill="E6E6E6"/>
            <w:hideMark/>
          </w:tcPr>
          <w:p w14:paraId="5B5F907F"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17</w:t>
            </w:r>
          </w:p>
        </w:tc>
        <w:tc>
          <w:tcPr>
            <w:tcW w:w="2621" w:type="dxa"/>
            <w:hideMark/>
          </w:tcPr>
          <w:p w14:paraId="7C374AC6"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Market Considerations</w:t>
            </w:r>
          </w:p>
        </w:tc>
        <w:tc>
          <w:tcPr>
            <w:tcW w:w="7072" w:type="dxa"/>
            <w:hideMark/>
          </w:tcPr>
          <w:p w14:paraId="703C8AAF"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 xml:space="preserve">Market Sounding and Delivery Model Advisor </w:t>
            </w:r>
          </w:p>
        </w:tc>
      </w:tr>
      <w:tr w:rsidR="003C632B" w:rsidRPr="003C632B" w14:paraId="0275A470" w14:textId="77777777" w:rsidTr="00D5378B">
        <w:trPr>
          <w:gridAfter w:val="1"/>
          <w:wAfter w:w="151" w:type="dxa"/>
        </w:trPr>
        <w:tc>
          <w:tcPr>
            <w:tcW w:w="846" w:type="dxa"/>
            <w:shd w:val="clear" w:color="auto" w:fill="E6E6E6"/>
            <w:hideMark/>
          </w:tcPr>
          <w:p w14:paraId="0F09188C"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18</w:t>
            </w:r>
          </w:p>
        </w:tc>
        <w:tc>
          <w:tcPr>
            <w:tcW w:w="2621" w:type="dxa"/>
            <w:hideMark/>
          </w:tcPr>
          <w:p w14:paraId="6AFF72B2"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Delivery Model Analysis</w:t>
            </w:r>
          </w:p>
        </w:tc>
        <w:tc>
          <w:tcPr>
            <w:tcW w:w="7072" w:type="dxa"/>
            <w:hideMark/>
          </w:tcPr>
          <w:p w14:paraId="64E00D93"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Market Sounding and Delivery Mode Advisor</w:t>
            </w:r>
          </w:p>
        </w:tc>
      </w:tr>
      <w:tr w:rsidR="003C632B" w:rsidRPr="003C632B" w14:paraId="330B0FDF" w14:textId="77777777" w:rsidTr="00D5378B">
        <w:trPr>
          <w:gridAfter w:val="1"/>
          <w:wAfter w:w="151" w:type="dxa"/>
        </w:trPr>
        <w:tc>
          <w:tcPr>
            <w:tcW w:w="846" w:type="dxa"/>
            <w:shd w:val="clear" w:color="auto" w:fill="E6E6E6"/>
            <w:hideMark/>
          </w:tcPr>
          <w:p w14:paraId="7631FC9B"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19</w:t>
            </w:r>
          </w:p>
        </w:tc>
        <w:tc>
          <w:tcPr>
            <w:tcW w:w="2621" w:type="dxa"/>
            <w:hideMark/>
          </w:tcPr>
          <w:p w14:paraId="76B4AEAF"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Public Sector Comparator</w:t>
            </w:r>
          </w:p>
        </w:tc>
        <w:tc>
          <w:tcPr>
            <w:tcW w:w="7072" w:type="dxa"/>
            <w:hideMark/>
          </w:tcPr>
          <w:p w14:paraId="0C9E6165" w14:textId="77777777" w:rsidR="003C632B" w:rsidRPr="003C632B" w:rsidRDefault="003C632B" w:rsidP="003C632B">
            <w:pPr>
              <w:spacing w:before="60" w:after="60"/>
              <w:ind w:left="113" w:right="113"/>
              <w:rPr>
                <w:rFonts w:eastAsia="Arial" w:cs="Noto Sans"/>
                <w:b/>
                <w:bCs/>
                <w:szCs w:val="18"/>
                <w:highlight w:val="yellow"/>
              </w:rPr>
            </w:pPr>
            <w:r w:rsidRPr="003C632B">
              <w:rPr>
                <w:rFonts w:eastAsia="Arial" w:cs="Noto Sans"/>
                <w:b/>
                <w:bCs/>
                <w:szCs w:val="18"/>
                <w:highlight w:val="yellow"/>
              </w:rPr>
              <w:t xml:space="preserve">Financial-Commercial advisor </w:t>
            </w:r>
          </w:p>
        </w:tc>
      </w:tr>
      <w:tr w:rsidR="003C632B" w:rsidRPr="003C632B" w14:paraId="20503D92" w14:textId="77777777" w:rsidTr="00D5378B">
        <w:trPr>
          <w:gridAfter w:val="1"/>
          <w:wAfter w:w="151" w:type="dxa"/>
        </w:trPr>
        <w:tc>
          <w:tcPr>
            <w:tcW w:w="846" w:type="dxa"/>
            <w:shd w:val="clear" w:color="auto" w:fill="E6E6E6"/>
            <w:hideMark/>
          </w:tcPr>
          <w:p w14:paraId="4A6CAFFC" w14:textId="77777777" w:rsidR="003C632B" w:rsidRPr="008D54C5" w:rsidRDefault="003C632B" w:rsidP="003C632B">
            <w:pPr>
              <w:spacing w:before="60" w:after="60"/>
              <w:ind w:left="113" w:right="113"/>
              <w:jc w:val="right"/>
              <w:rPr>
                <w:rFonts w:eastAsia="Arial" w:cs="Noto Sans"/>
                <w:b/>
                <w:bCs/>
                <w:szCs w:val="18"/>
                <w:highlight w:val="yellow"/>
              </w:rPr>
            </w:pPr>
            <w:r w:rsidRPr="008D54C5">
              <w:rPr>
                <w:rFonts w:eastAsia="Arial" w:cs="Noto Sans"/>
                <w:b/>
                <w:bCs/>
                <w:szCs w:val="18"/>
                <w:highlight w:val="yellow"/>
              </w:rPr>
              <w:t>20</w:t>
            </w:r>
          </w:p>
        </w:tc>
        <w:tc>
          <w:tcPr>
            <w:tcW w:w="2621" w:type="dxa"/>
            <w:hideMark/>
          </w:tcPr>
          <w:p w14:paraId="46A82572"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Implementation Plan</w:t>
            </w:r>
          </w:p>
        </w:tc>
        <w:tc>
          <w:tcPr>
            <w:tcW w:w="7072" w:type="dxa"/>
            <w:hideMark/>
          </w:tcPr>
          <w:p w14:paraId="3BB16A85"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Business Case Management Services resources</w:t>
            </w:r>
          </w:p>
        </w:tc>
      </w:tr>
      <w:tr w:rsidR="003C632B" w:rsidRPr="003C632B" w14:paraId="0F299B5E" w14:textId="77777777" w:rsidTr="00D5378B">
        <w:trPr>
          <w:gridAfter w:val="1"/>
          <w:wAfter w:w="151" w:type="dxa"/>
        </w:trPr>
        <w:tc>
          <w:tcPr>
            <w:tcW w:w="846" w:type="dxa"/>
            <w:shd w:val="clear" w:color="auto" w:fill="E6E6E6"/>
          </w:tcPr>
          <w:p w14:paraId="4156C7EE" w14:textId="0B268823" w:rsidR="003C632B" w:rsidRPr="008D54C5" w:rsidRDefault="008D54C5" w:rsidP="008D54C5">
            <w:pPr>
              <w:spacing w:before="60" w:after="60"/>
              <w:ind w:left="113" w:right="113"/>
              <w:jc w:val="center"/>
              <w:rPr>
                <w:rFonts w:eastAsia="Arial" w:cs="Noto Sans"/>
                <w:szCs w:val="18"/>
                <w:highlight w:val="yellow"/>
              </w:rPr>
            </w:pPr>
            <w:r>
              <w:rPr>
                <w:rFonts w:eastAsia="Arial" w:cs="Noto Sans"/>
                <w:szCs w:val="18"/>
                <w:highlight w:val="yellow"/>
              </w:rPr>
              <w:t>-</w:t>
            </w:r>
          </w:p>
        </w:tc>
        <w:tc>
          <w:tcPr>
            <w:tcW w:w="2621" w:type="dxa"/>
            <w:hideMark/>
          </w:tcPr>
          <w:p w14:paraId="3940D0A6"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 xml:space="preserve">Conclusions </w:t>
            </w:r>
          </w:p>
        </w:tc>
        <w:tc>
          <w:tcPr>
            <w:tcW w:w="7072" w:type="dxa"/>
            <w:hideMark/>
          </w:tcPr>
          <w:p w14:paraId="06914C52"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Business Case Management Services resources</w:t>
            </w:r>
          </w:p>
        </w:tc>
      </w:tr>
      <w:tr w:rsidR="003C632B" w:rsidRPr="003C632B" w14:paraId="220C598C" w14:textId="77777777" w:rsidTr="00D5378B">
        <w:trPr>
          <w:gridAfter w:val="1"/>
          <w:wAfter w:w="151" w:type="dxa"/>
        </w:trPr>
        <w:tc>
          <w:tcPr>
            <w:tcW w:w="846" w:type="dxa"/>
            <w:shd w:val="clear" w:color="auto" w:fill="E6E6E6"/>
          </w:tcPr>
          <w:p w14:paraId="4A3A13C1" w14:textId="4439B1FA" w:rsidR="003C632B" w:rsidRPr="008D54C5" w:rsidRDefault="008D54C5" w:rsidP="008D54C5">
            <w:pPr>
              <w:spacing w:before="60" w:after="60"/>
              <w:ind w:left="113" w:right="113"/>
              <w:jc w:val="center"/>
              <w:rPr>
                <w:rFonts w:eastAsia="Arial" w:cs="Noto Sans"/>
                <w:szCs w:val="18"/>
                <w:highlight w:val="yellow"/>
              </w:rPr>
            </w:pPr>
            <w:r>
              <w:rPr>
                <w:rFonts w:eastAsia="Arial" w:cs="Noto Sans"/>
                <w:szCs w:val="18"/>
                <w:highlight w:val="yellow"/>
              </w:rPr>
              <w:t>-</w:t>
            </w:r>
          </w:p>
        </w:tc>
        <w:tc>
          <w:tcPr>
            <w:tcW w:w="2621" w:type="dxa"/>
            <w:hideMark/>
          </w:tcPr>
          <w:p w14:paraId="3114AC34"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Recommendations</w:t>
            </w:r>
          </w:p>
        </w:tc>
        <w:tc>
          <w:tcPr>
            <w:tcW w:w="7072" w:type="dxa"/>
            <w:hideMark/>
          </w:tcPr>
          <w:p w14:paraId="011F1F9C"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Business Case Management Services resources</w:t>
            </w:r>
          </w:p>
        </w:tc>
      </w:tr>
      <w:tr w:rsidR="003C632B" w:rsidRPr="003C632B" w14:paraId="5E8C98AE" w14:textId="77777777" w:rsidTr="00D5378B">
        <w:trPr>
          <w:gridAfter w:val="1"/>
          <w:wAfter w:w="151" w:type="dxa"/>
        </w:trPr>
        <w:tc>
          <w:tcPr>
            <w:tcW w:w="846" w:type="dxa"/>
            <w:shd w:val="clear" w:color="auto" w:fill="E6E6E6"/>
          </w:tcPr>
          <w:p w14:paraId="4ED41A57" w14:textId="5F6BBBCA" w:rsidR="003C632B" w:rsidRPr="008D54C5" w:rsidRDefault="008D54C5" w:rsidP="008D54C5">
            <w:pPr>
              <w:spacing w:before="60" w:after="60"/>
              <w:ind w:left="113" w:right="113"/>
              <w:jc w:val="center"/>
              <w:rPr>
                <w:rFonts w:eastAsia="Arial" w:cs="Noto Sans"/>
                <w:szCs w:val="18"/>
                <w:highlight w:val="yellow"/>
              </w:rPr>
            </w:pPr>
            <w:r>
              <w:rPr>
                <w:rFonts w:eastAsia="Arial" w:cs="Noto Sans"/>
                <w:szCs w:val="18"/>
                <w:highlight w:val="yellow"/>
              </w:rPr>
              <w:t>-</w:t>
            </w:r>
          </w:p>
        </w:tc>
        <w:tc>
          <w:tcPr>
            <w:tcW w:w="2621" w:type="dxa"/>
            <w:hideMark/>
          </w:tcPr>
          <w:p w14:paraId="3A034FB7"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References</w:t>
            </w:r>
          </w:p>
        </w:tc>
        <w:tc>
          <w:tcPr>
            <w:tcW w:w="7072" w:type="dxa"/>
            <w:hideMark/>
          </w:tcPr>
          <w:p w14:paraId="2C15E205" w14:textId="77777777" w:rsidR="003C632B" w:rsidRPr="003C632B" w:rsidRDefault="003C632B" w:rsidP="003C632B">
            <w:pPr>
              <w:spacing w:before="60" w:after="60"/>
              <w:ind w:left="113" w:right="113"/>
              <w:rPr>
                <w:rFonts w:eastAsia="Arial" w:cs="Noto Sans"/>
                <w:szCs w:val="18"/>
                <w:highlight w:val="yellow"/>
              </w:rPr>
            </w:pPr>
            <w:r w:rsidRPr="003C632B">
              <w:rPr>
                <w:rFonts w:eastAsia="Arial" w:cs="Noto Sans"/>
                <w:szCs w:val="18"/>
                <w:highlight w:val="yellow"/>
              </w:rPr>
              <w:t>Business Case Management Services resources</w:t>
            </w:r>
          </w:p>
        </w:tc>
      </w:tr>
    </w:tbl>
    <w:p w14:paraId="52CA3442" w14:textId="77777777" w:rsidR="003C632B" w:rsidRPr="003C632B" w:rsidRDefault="003C632B" w:rsidP="00330638">
      <w:pPr>
        <w:pStyle w:val="Heading2"/>
        <w:numPr>
          <w:ilvl w:val="1"/>
          <w:numId w:val="35"/>
        </w:numPr>
      </w:pPr>
      <w:r w:rsidRPr="003C632B">
        <w:t>&lt;&lt;</w:t>
      </w:r>
      <w:r w:rsidRPr="003C632B">
        <w:rPr>
          <w:highlight w:val="yellow"/>
        </w:rPr>
        <w:t>Writing Style Manual</w:t>
      </w:r>
      <w:r w:rsidRPr="003C632B">
        <w:t>&gt;&gt;</w:t>
      </w:r>
    </w:p>
    <w:p w14:paraId="3243BB24" w14:textId="77777777" w:rsidR="003C632B" w:rsidRPr="003C632B" w:rsidRDefault="003C632B" w:rsidP="003C632B">
      <w:pPr>
        <w:spacing w:before="120"/>
        <w:rPr>
          <w:rFonts w:eastAsia="Arial" w:cs="Noto Sans"/>
          <w:color w:val="4D4D4F"/>
          <w:szCs w:val="18"/>
        </w:rPr>
      </w:pPr>
      <w:r w:rsidRPr="003C632B">
        <w:rPr>
          <w:rFonts w:eastAsia="Arial" w:cs="Noto Sans"/>
          <w:color w:val="4D4D4F"/>
          <w:szCs w:val="18"/>
        </w:rPr>
        <w:t xml:space="preserve">The </w:t>
      </w:r>
      <w:r w:rsidRPr="003C632B">
        <w:rPr>
          <w:rFonts w:eastAsia="Arial" w:cs="Noto Sans"/>
          <w:color w:val="4D4D4F"/>
          <w:szCs w:val="18"/>
          <w:highlight w:val="yellow"/>
        </w:rPr>
        <w:t>Financial and Commercial</w:t>
      </w:r>
      <w:r w:rsidRPr="003C632B">
        <w:rPr>
          <w:rFonts w:eastAsia="Arial" w:cs="Noto Sans"/>
          <w:color w:val="4D4D4F"/>
          <w:szCs w:val="18"/>
        </w:rPr>
        <w:t xml:space="preserve"> Advisor must ensure that any business case chapters, are written in accordance with the </w:t>
      </w:r>
      <w:r w:rsidRPr="003C632B">
        <w:rPr>
          <w:rFonts w:eastAsia="Arial" w:cs="Noto Sans"/>
          <w:color w:val="4D4D4F"/>
          <w:szCs w:val="18"/>
          <w:highlight w:val="yellow"/>
        </w:rPr>
        <w:t>&lt;&lt;Agency Name&gt;&gt;</w:t>
      </w:r>
      <w:r w:rsidRPr="003C632B">
        <w:rPr>
          <w:rFonts w:eastAsia="Arial" w:cs="Noto Sans"/>
          <w:color w:val="4D4D4F"/>
          <w:szCs w:val="18"/>
        </w:rPr>
        <w:t xml:space="preserve"> Writing Style Manual (to be provided upon contract award).</w:t>
      </w:r>
    </w:p>
    <w:p w14:paraId="6B6F34E2" w14:textId="77777777" w:rsidR="003C632B" w:rsidRPr="003C632B" w:rsidRDefault="003C632B" w:rsidP="00C324A9">
      <w:pPr>
        <w:pStyle w:val="Heading1"/>
        <w:widowControl/>
        <w:numPr>
          <w:ilvl w:val="0"/>
          <w:numId w:val="35"/>
        </w:numPr>
      </w:pPr>
      <w:r w:rsidRPr="003C632B">
        <w:t xml:space="preserve">Out of Scope </w:t>
      </w:r>
    </w:p>
    <w:p w14:paraId="244CB605" w14:textId="77777777" w:rsidR="003C632B" w:rsidRDefault="003C632B" w:rsidP="00C324A9">
      <w:pPr>
        <w:keepNext/>
        <w:spacing w:before="120"/>
        <w:rPr>
          <w:rFonts w:eastAsia="Arial" w:cs="Noto Sans"/>
          <w:szCs w:val="18"/>
          <w:lang w:eastAsia="en-AU"/>
        </w:rPr>
      </w:pPr>
      <w:r w:rsidRPr="003C632B">
        <w:rPr>
          <w:rFonts w:eastAsia="Arial" w:cs="Noto Sans"/>
          <w:szCs w:val="18"/>
          <w:highlight w:val="cyan"/>
          <w:lang w:eastAsia="en-AU"/>
        </w:rPr>
        <w:t>(Delete this section if no applicable High-level summary only)</w:t>
      </w:r>
      <w:r w:rsidRPr="003C632B">
        <w:rPr>
          <w:rFonts w:eastAsia="Arial" w:cs="Noto Sans"/>
          <w:szCs w:val="18"/>
          <w:lang w:eastAsia="en-AU"/>
        </w:rPr>
        <w:t xml:space="preserve"> The following work has been completed or is soon to be completed and is excluded from the scope of work for this engagement, subject to any qualifications noted in the key activities and deliverables above:</w:t>
      </w:r>
    </w:p>
    <w:p w14:paraId="2E19EAA6" w14:textId="77777777" w:rsidR="00A25C20" w:rsidRPr="00AA6AD6" w:rsidRDefault="00A25C20" w:rsidP="00C324A9">
      <w:pPr>
        <w:pStyle w:val="ListParagraph"/>
        <w:keepNext/>
        <w:numPr>
          <w:ilvl w:val="0"/>
          <w:numId w:val="21"/>
        </w:numPr>
        <w:spacing w:before="60" w:after="60"/>
        <w:rPr>
          <w:rFonts w:eastAsia="Arial" w:cs="Noto Sans"/>
          <w:szCs w:val="18"/>
        </w:rPr>
      </w:pPr>
      <w:r w:rsidRPr="00AA6AD6">
        <w:rPr>
          <w:rFonts w:eastAsia="Arial" w:cs="Noto Sans"/>
          <w:szCs w:val="18"/>
          <w:highlight w:val="yellow"/>
        </w:rPr>
        <w:t>XXXX</w:t>
      </w:r>
    </w:p>
    <w:p w14:paraId="334BB2DB" w14:textId="77777777" w:rsidR="00A25C20" w:rsidRPr="00AA6AD6" w:rsidRDefault="00A25C20" w:rsidP="00C324A9">
      <w:pPr>
        <w:pStyle w:val="ListParagraph"/>
        <w:keepNext/>
        <w:numPr>
          <w:ilvl w:val="0"/>
          <w:numId w:val="21"/>
        </w:numPr>
        <w:spacing w:before="60" w:after="60"/>
        <w:rPr>
          <w:rFonts w:eastAsia="Arial" w:cs="Noto Sans"/>
          <w:szCs w:val="18"/>
        </w:rPr>
      </w:pPr>
      <w:r w:rsidRPr="00AA6AD6">
        <w:rPr>
          <w:rFonts w:eastAsia="Arial" w:cs="Noto Sans"/>
          <w:szCs w:val="18"/>
          <w:highlight w:val="yellow"/>
        </w:rPr>
        <w:t>XXXX</w:t>
      </w:r>
    </w:p>
    <w:p w14:paraId="567DAB1A" w14:textId="02D92C32" w:rsidR="00A25C20" w:rsidRPr="00AA6AD6" w:rsidRDefault="00A25C20" w:rsidP="00C324A9">
      <w:pPr>
        <w:pStyle w:val="ListParagraph"/>
        <w:keepNext/>
        <w:numPr>
          <w:ilvl w:val="0"/>
          <w:numId w:val="21"/>
        </w:numPr>
        <w:spacing w:before="60" w:after="60"/>
        <w:rPr>
          <w:rFonts w:eastAsia="Arial" w:cs="Noto Sans"/>
          <w:szCs w:val="18"/>
        </w:rPr>
      </w:pPr>
      <w:r w:rsidRPr="00AA6AD6">
        <w:rPr>
          <w:rFonts w:eastAsia="Arial" w:cs="Noto Sans"/>
          <w:szCs w:val="18"/>
          <w:highlight w:val="yellow"/>
        </w:rPr>
        <w:t>XXXX</w:t>
      </w:r>
    </w:p>
    <w:p w14:paraId="2DEF914B" w14:textId="3DF2C70F" w:rsidR="003C632B" w:rsidRPr="003C632B" w:rsidRDefault="003C632B" w:rsidP="00330638">
      <w:pPr>
        <w:pStyle w:val="Heading1"/>
        <w:numPr>
          <w:ilvl w:val="0"/>
          <w:numId w:val="35"/>
        </w:numPr>
      </w:pPr>
      <w:r w:rsidRPr="003C632B">
        <w:t xml:space="preserve">Reporting </w:t>
      </w:r>
      <w:r w:rsidR="00A833B9">
        <w:t>r</w:t>
      </w:r>
      <w:r w:rsidRPr="003C632B">
        <w:t xml:space="preserve">equirements </w:t>
      </w:r>
    </w:p>
    <w:p w14:paraId="5AA5BBEB" w14:textId="77777777" w:rsidR="003C632B" w:rsidRPr="003C632B" w:rsidRDefault="003C632B" w:rsidP="003C632B">
      <w:pPr>
        <w:spacing w:before="120"/>
        <w:rPr>
          <w:rFonts w:eastAsia="Arial" w:cs="Noto Sans"/>
          <w:szCs w:val="18"/>
          <w:lang w:eastAsia="en-AU"/>
        </w:rPr>
      </w:pPr>
      <w:r w:rsidRPr="003C632B">
        <w:rPr>
          <w:rFonts w:eastAsia="Arial" w:cs="Noto Sans"/>
          <w:szCs w:val="18"/>
          <w:lang w:eastAsia="en-AU"/>
        </w:rPr>
        <w:t xml:space="preserve">The successful Advisor for this engagement will report directly to a nominated contact (confirmed on contract award) for the </w:t>
      </w:r>
      <w:r w:rsidRPr="003C632B">
        <w:rPr>
          <w:rFonts w:eastAsia="Arial" w:cs="Noto Sans"/>
          <w:szCs w:val="18"/>
          <w:highlight w:val="yellow"/>
          <w:lang w:eastAsia="en-AU"/>
        </w:rPr>
        <w:t>&lt;insert business case name&gt;</w:t>
      </w:r>
      <w:r w:rsidRPr="003C632B">
        <w:rPr>
          <w:rFonts w:eastAsia="Arial" w:cs="Noto Sans"/>
          <w:szCs w:val="18"/>
          <w:lang w:eastAsia="en-AU"/>
        </w:rPr>
        <w:t xml:space="preserve"> and will work under the direction of the Business Case Director or their delegate, as required.</w:t>
      </w:r>
    </w:p>
    <w:p w14:paraId="2326FFC3" w14:textId="77777777" w:rsidR="003C632B" w:rsidRPr="003C632B" w:rsidRDefault="003C632B" w:rsidP="003C632B">
      <w:pPr>
        <w:spacing w:before="120"/>
        <w:rPr>
          <w:rFonts w:eastAsia="Arial" w:cs="Noto Sans"/>
          <w:szCs w:val="18"/>
          <w:lang w:eastAsia="en-AU"/>
        </w:rPr>
      </w:pPr>
      <w:r w:rsidRPr="003C632B">
        <w:rPr>
          <w:rFonts w:eastAsia="Arial" w:cs="Noto Sans"/>
          <w:szCs w:val="18"/>
          <w:lang w:eastAsia="en-AU"/>
        </w:rPr>
        <w:t>Decisions, including the scope, make-up of analytical components, and their proposed evaluation is to be formally documented and mutually agreed with the nominated contact, and formally communicated, preferably through electronic mail.</w:t>
      </w:r>
    </w:p>
    <w:p w14:paraId="2A2EAA11" w14:textId="77777777" w:rsidR="003C632B" w:rsidRPr="003C632B" w:rsidRDefault="003C632B" w:rsidP="003C632B">
      <w:pPr>
        <w:spacing w:before="120"/>
        <w:rPr>
          <w:rFonts w:eastAsia="Arial" w:cs="Noto Sans"/>
          <w:szCs w:val="18"/>
          <w:lang w:eastAsia="en-AU"/>
        </w:rPr>
      </w:pPr>
      <w:r w:rsidRPr="003C632B">
        <w:rPr>
          <w:rFonts w:eastAsia="Arial" w:cs="Noto Sans"/>
          <w:szCs w:val="18"/>
          <w:lang w:eastAsia="en-AU"/>
        </w:rPr>
        <w:t>The following reporting requirements are mandatory:</w:t>
      </w:r>
    </w:p>
    <w:p w14:paraId="5B3F19ED" w14:textId="77777777" w:rsidR="003C632B" w:rsidRPr="00EC52A1" w:rsidRDefault="003C632B" w:rsidP="00EC52A1">
      <w:pPr>
        <w:pStyle w:val="ListParagraph"/>
        <w:numPr>
          <w:ilvl w:val="0"/>
          <w:numId w:val="21"/>
        </w:numPr>
        <w:spacing w:before="60" w:after="60"/>
        <w:rPr>
          <w:rFonts w:eastAsia="Arial" w:cs="Noto Sans"/>
          <w:szCs w:val="18"/>
        </w:rPr>
      </w:pPr>
      <w:r w:rsidRPr="00EC52A1">
        <w:rPr>
          <w:rFonts w:eastAsia="Arial" w:cs="Noto Sans"/>
          <w:szCs w:val="18"/>
        </w:rPr>
        <w:t>Participation/leadership in periodic working group meetings.</w:t>
      </w:r>
    </w:p>
    <w:p w14:paraId="1ED28B71" w14:textId="77777777" w:rsidR="003C632B" w:rsidRPr="00EC52A1" w:rsidRDefault="003C632B" w:rsidP="00EC52A1">
      <w:pPr>
        <w:pStyle w:val="ListParagraph"/>
        <w:numPr>
          <w:ilvl w:val="0"/>
          <w:numId w:val="21"/>
        </w:numPr>
        <w:spacing w:before="60" w:after="60"/>
        <w:rPr>
          <w:rFonts w:eastAsia="Arial" w:cs="Noto Sans"/>
          <w:szCs w:val="18"/>
        </w:rPr>
      </w:pPr>
      <w:r w:rsidRPr="00EC52A1">
        <w:rPr>
          <w:rFonts w:eastAsia="Arial" w:cs="Noto Sans"/>
          <w:szCs w:val="18"/>
        </w:rPr>
        <w:t>Provide input to the Monthly Project Milestone Reports, as required (prepared by the Business Case Management Services Advisor with inputs from all workstream Advisors).</w:t>
      </w:r>
    </w:p>
    <w:p w14:paraId="0E3C2893" w14:textId="77777777" w:rsidR="003C632B" w:rsidRPr="003C632B" w:rsidRDefault="003C632B" w:rsidP="00C324A9">
      <w:pPr>
        <w:pStyle w:val="Heading1"/>
        <w:widowControl/>
        <w:numPr>
          <w:ilvl w:val="0"/>
          <w:numId w:val="35"/>
        </w:numPr>
      </w:pPr>
      <w:r w:rsidRPr="003C632B">
        <w:t xml:space="preserve">Timeframes </w:t>
      </w:r>
    </w:p>
    <w:p w14:paraId="34ED3D8F" w14:textId="77777777" w:rsidR="003C632B" w:rsidRPr="003C632B" w:rsidRDefault="003C632B" w:rsidP="00C324A9">
      <w:pPr>
        <w:keepNext/>
        <w:spacing w:before="120"/>
        <w:rPr>
          <w:rFonts w:eastAsia="Arial" w:cs="Noto Sans"/>
          <w:szCs w:val="18"/>
        </w:rPr>
      </w:pPr>
      <w:r w:rsidRPr="003C632B">
        <w:rPr>
          <w:rFonts w:eastAsia="Arial" w:cs="Noto Sans"/>
          <w:szCs w:val="18"/>
          <w:highlight w:val="cyan"/>
        </w:rPr>
        <w:t>[Drafting note: Consideration needs to be given to the high-level timeframe requirements for your business case that would assist Suppliers in understanding how to resource this role. Below are suggested milestones and you must update this list of milestones to be fit-for-purpose and aligned to your own business case program– as a minimum the “phase” end dates are required. Provide enough information to help with a response but don’t be overly prescriptive. If no date is known use months, however greater clarity will help respondents]</w:t>
      </w:r>
    </w:p>
    <w:p w14:paraId="0C5F6C99" w14:textId="663AAA94" w:rsidR="003C632B" w:rsidRPr="003C632B" w:rsidRDefault="003C632B" w:rsidP="00C324A9">
      <w:pPr>
        <w:keepNext/>
        <w:spacing w:before="120"/>
        <w:rPr>
          <w:rFonts w:eastAsia="Arial" w:cs="Noto Sans"/>
          <w:szCs w:val="18"/>
        </w:rPr>
      </w:pPr>
      <w:r w:rsidRPr="003C632B">
        <w:rPr>
          <w:rFonts w:eastAsia="Arial" w:cs="Noto Sans"/>
          <w:szCs w:val="18"/>
        </w:rPr>
        <w:fldChar w:fldCharType="begin"/>
      </w:r>
      <w:r w:rsidRPr="003C632B">
        <w:rPr>
          <w:rFonts w:eastAsia="Arial" w:cs="Noto Sans"/>
          <w:szCs w:val="18"/>
        </w:rPr>
        <w:instrText xml:space="preserve"> REF _Ref76390040 \h </w:instrText>
      </w:r>
      <w:r w:rsidRPr="00EC52A1">
        <w:rPr>
          <w:rFonts w:eastAsia="Arial" w:cs="Noto Sans"/>
          <w:szCs w:val="18"/>
        </w:rPr>
        <w:instrText xml:space="preserve"> \* MERGEFORMAT </w:instrText>
      </w:r>
      <w:r w:rsidRPr="003C632B">
        <w:rPr>
          <w:rFonts w:eastAsia="Arial" w:cs="Noto Sans"/>
          <w:szCs w:val="18"/>
        </w:rPr>
      </w:r>
      <w:r w:rsidRPr="003C632B">
        <w:rPr>
          <w:rFonts w:eastAsia="Arial" w:cs="Noto Sans"/>
          <w:szCs w:val="18"/>
        </w:rPr>
        <w:fldChar w:fldCharType="separate"/>
      </w:r>
      <w:r w:rsidRPr="003C632B">
        <w:rPr>
          <w:rFonts w:eastAsia="Arial" w:cs="Noto Sans"/>
          <w:szCs w:val="18"/>
        </w:rPr>
        <w:t xml:space="preserve">Table </w:t>
      </w:r>
      <w:r w:rsidRPr="003C632B">
        <w:rPr>
          <w:rFonts w:eastAsia="Arial" w:cs="Noto Sans"/>
          <w:noProof/>
          <w:szCs w:val="18"/>
        </w:rPr>
        <w:t>3</w:t>
      </w:r>
      <w:r w:rsidRPr="003C632B">
        <w:rPr>
          <w:rFonts w:eastAsia="Arial" w:cs="Noto Sans"/>
          <w:szCs w:val="18"/>
        </w:rPr>
        <w:fldChar w:fldCharType="end"/>
      </w:r>
      <w:r w:rsidRPr="003C632B">
        <w:rPr>
          <w:rFonts w:eastAsia="Arial" w:cs="Noto Sans"/>
          <w:szCs w:val="18"/>
        </w:rPr>
        <w:t xml:space="preserve"> outlines the key milestones currently anticipated for the development of the detailed business case.</w:t>
      </w:r>
    </w:p>
    <w:p w14:paraId="43D5CE4C" w14:textId="437D6BF5" w:rsidR="003C632B" w:rsidRPr="003C632B" w:rsidRDefault="003C632B" w:rsidP="00C324A9">
      <w:pPr>
        <w:keepNext/>
        <w:tabs>
          <w:tab w:val="left" w:pos="1418"/>
        </w:tabs>
        <w:spacing w:before="60" w:after="60"/>
        <w:ind w:left="1418" w:hanging="1418"/>
        <w:rPr>
          <w:rFonts w:eastAsia="Arial" w:cs="Noto Sans"/>
          <w:b/>
          <w:bCs/>
          <w:szCs w:val="18"/>
        </w:rPr>
      </w:pPr>
      <w:bookmarkStart w:id="9" w:name="_Ref76390040"/>
      <w:r w:rsidRPr="003C632B">
        <w:rPr>
          <w:rFonts w:eastAsia="Arial" w:cs="Noto Sans"/>
          <w:b/>
          <w:bCs/>
          <w:szCs w:val="18"/>
        </w:rPr>
        <w:t xml:space="preserve">Table </w:t>
      </w:r>
      <w:r w:rsidRPr="003C632B">
        <w:rPr>
          <w:rFonts w:eastAsia="Arial" w:cs="Noto Sans"/>
          <w:b/>
          <w:bCs/>
          <w:szCs w:val="18"/>
        </w:rPr>
        <w:fldChar w:fldCharType="begin"/>
      </w:r>
      <w:r w:rsidRPr="003C632B">
        <w:rPr>
          <w:rFonts w:eastAsia="Arial" w:cs="Noto Sans"/>
          <w:b/>
          <w:bCs/>
          <w:szCs w:val="18"/>
        </w:rPr>
        <w:instrText xml:space="preserve"> SEQ Table \* ARABIC </w:instrText>
      </w:r>
      <w:r w:rsidRPr="003C632B">
        <w:rPr>
          <w:rFonts w:eastAsia="Arial" w:cs="Noto Sans"/>
          <w:b/>
          <w:bCs/>
          <w:szCs w:val="18"/>
        </w:rPr>
        <w:fldChar w:fldCharType="separate"/>
      </w:r>
      <w:r w:rsidRPr="003C632B">
        <w:rPr>
          <w:rFonts w:eastAsia="Arial" w:cs="Noto Sans"/>
          <w:b/>
          <w:bCs/>
          <w:noProof/>
          <w:szCs w:val="18"/>
        </w:rPr>
        <w:t>3</w:t>
      </w:r>
      <w:r w:rsidRPr="003C632B">
        <w:rPr>
          <w:rFonts w:eastAsia="Arial" w:cs="Noto Sans"/>
          <w:b/>
          <w:bCs/>
          <w:szCs w:val="18"/>
        </w:rPr>
        <w:fldChar w:fldCharType="end"/>
      </w:r>
      <w:bookmarkEnd w:id="9"/>
      <w:r w:rsidRPr="003C632B">
        <w:rPr>
          <w:rFonts w:eastAsia="Arial" w:cs="Noto Sans"/>
          <w:b/>
          <w:bCs/>
          <w:szCs w:val="18"/>
        </w:rPr>
        <w:t xml:space="preserve">: Business Case </w:t>
      </w:r>
      <w:r w:rsidR="00A833B9">
        <w:rPr>
          <w:rFonts w:eastAsia="Arial" w:cs="Noto Sans"/>
          <w:b/>
          <w:bCs/>
          <w:szCs w:val="18"/>
        </w:rPr>
        <w:t>d</w:t>
      </w:r>
      <w:r w:rsidRPr="003C632B">
        <w:rPr>
          <w:rFonts w:eastAsia="Arial" w:cs="Noto Sans"/>
          <w:b/>
          <w:bCs/>
          <w:szCs w:val="18"/>
        </w:rPr>
        <w:t xml:space="preserve">evelopment </w:t>
      </w:r>
      <w:r w:rsidR="00A833B9">
        <w:rPr>
          <w:rFonts w:eastAsia="Arial" w:cs="Noto Sans"/>
          <w:b/>
          <w:bCs/>
          <w:szCs w:val="18"/>
        </w:rPr>
        <w:t>t</w:t>
      </w:r>
      <w:r w:rsidRPr="003C632B">
        <w:rPr>
          <w:rFonts w:eastAsia="Arial" w:cs="Noto Sans"/>
          <w:b/>
          <w:bCs/>
          <w:szCs w:val="18"/>
        </w:rPr>
        <w:t>imeframes</w:t>
      </w:r>
    </w:p>
    <w:tbl>
      <w:tblPr>
        <w:tblStyle w:val="Table-QldBlue"/>
        <w:tblW w:w="5000" w:type="pct"/>
        <w:tblLayout w:type="fixed"/>
        <w:tblLook w:val="0620" w:firstRow="1" w:lastRow="0" w:firstColumn="0" w:lastColumn="0" w:noHBand="1" w:noVBand="1"/>
      </w:tblPr>
      <w:tblGrid>
        <w:gridCol w:w="6110"/>
        <w:gridCol w:w="4370"/>
      </w:tblGrid>
      <w:tr w:rsidR="003C632B" w:rsidRPr="003C632B" w14:paraId="1BB18CF3" w14:textId="77777777" w:rsidTr="003C632B">
        <w:trPr>
          <w:cnfStyle w:val="100000000000" w:firstRow="1" w:lastRow="0" w:firstColumn="0" w:lastColumn="0" w:oddVBand="0" w:evenVBand="0" w:oddHBand="0" w:evenHBand="0" w:firstRowFirstColumn="0" w:firstRowLastColumn="0" w:lastRowFirstColumn="0" w:lastRowLastColumn="0"/>
        </w:trPr>
        <w:tc>
          <w:tcPr>
            <w:tcW w:w="5954" w:type="dxa"/>
            <w:hideMark/>
          </w:tcPr>
          <w:p w14:paraId="7C581398" w14:textId="12E734C2" w:rsidR="003C632B" w:rsidRPr="003C632B" w:rsidRDefault="00D5378B" w:rsidP="003C632B">
            <w:pPr>
              <w:keepNext/>
              <w:keepLines/>
              <w:spacing w:before="80" w:after="80"/>
              <w:ind w:left="113" w:right="113"/>
              <w:rPr>
                <w:rFonts w:eastAsia="Arial" w:cs="Noto Sans"/>
                <w:caps/>
                <w:szCs w:val="22"/>
              </w:rPr>
            </w:pPr>
            <w:r w:rsidRPr="003C632B">
              <w:rPr>
                <w:rFonts w:eastAsia="Arial" w:cs="Noto Sans"/>
                <w:szCs w:val="22"/>
              </w:rPr>
              <w:t>Activity/</w:t>
            </w:r>
            <w:r>
              <w:rPr>
                <w:rFonts w:eastAsia="Arial" w:cs="Noto Sans"/>
                <w:szCs w:val="22"/>
              </w:rPr>
              <w:t>P</w:t>
            </w:r>
            <w:r w:rsidRPr="003C632B">
              <w:rPr>
                <w:rFonts w:eastAsia="Arial" w:cs="Noto Sans"/>
                <w:szCs w:val="22"/>
              </w:rPr>
              <w:t>hase</w:t>
            </w:r>
          </w:p>
        </w:tc>
        <w:tc>
          <w:tcPr>
            <w:tcW w:w="4258" w:type="dxa"/>
            <w:hideMark/>
          </w:tcPr>
          <w:p w14:paraId="59F4B430" w14:textId="430EF73E" w:rsidR="003C632B" w:rsidRPr="003C632B" w:rsidRDefault="00D5378B" w:rsidP="003C632B">
            <w:pPr>
              <w:keepNext/>
              <w:keepLines/>
              <w:spacing w:before="80" w:after="80"/>
              <w:ind w:left="113" w:right="113"/>
              <w:rPr>
                <w:rFonts w:eastAsia="Arial" w:cs="Noto Sans"/>
                <w:caps/>
                <w:szCs w:val="22"/>
              </w:rPr>
            </w:pPr>
            <w:r w:rsidRPr="003C632B">
              <w:rPr>
                <w:rFonts w:eastAsia="Arial" w:cs="Noto Sans"/>
                <w:szCs w:val="22"/>
              </w:rPr>
              <w:t xml:space="preserve">Anticipated </w:t>
            </w:r>
            <w:r w:rsidR="00A833B9">
              <w:rPr>
                <w:rFonts w:eastAsia="Arial" w:cs="Noto Sans"/>
                <w:szCs w:val="22"/>
              </w:rPr>
              <w:t>t</w:t>
            </w:r>
            <w:r w:rsidRPr="003C632B">
              <w:rPr>
                <w:rFonts w:eastAsia="Arial" w:cs="Noto Sans"/>
                <w:szCs w:val="22"/>
              </w:rPr>
              <w:t xml:space="preserve">iming </w:t>
            </w:r>
          </w:p>
        </w:tc>
      </w:tr>
      <w:tr w:rsidR="003C632B" w:rsidRPr="003C632B" w14:paraId="2524F049" w14:textId="77777777" w:rsidTr="004C2F0E">
        <w:tc>
          <w:tcPr>
            <w:tcW w:w="5954" w:type="dxa"/>
            <w:shd w:val="clear" w:color="auto" w:fill="E7E6E6" w:themeFill="background2"/>
            <w:hideMark/>
          </w:tcPr>
          <w:p w14:paraId="05791541" w14:textId="77777777" w:rsidR="003C632B" w:rsidRPr="004C2F0E" w:rsidRDefault="003C632B" w:rsidP="003C632B">
            <w:pPr>
              <w:spacing w:before="60" w:after="60"/>
              <w:rPr>
                <w:rFonts w:eastAsia="Arial" w:cs="Noto Sans"/>
                <w:b/>
                <w:bCs/>
                <w:szCs w:val="18"/>
              </w:rPr>
            </w:pPr>
            <w:r w:rsidRPr="004C2F0E">
              <w:rPr>
                <w:rFonts w:eastAsia="Arial" w:cs="Noto Sans"/>
                <w:b/>
                <w:bCs/>
                <w:szCs w:val="18"/>
              </w:rPr>
              <w:t>Initiation complete</w:t>
            </w:r>
          </w:p>
        </w:tc>
        <w:tc>
          <w:tcPr>
            <w:tcW w:w="4258" w:type="dxa"/>
          </w:tcPr>
          <w:p w14:paraId="11312353" w14:textId="77777777" w:rsidR="003C632B" w:rsidRPr="003C632B" w:rsidRDefault="003C632B" w:rsidP="003C632B">
            <w:pPr>
              <w:spacing w:before="60" w:after="60"/>
              <w:rPr>
                <w:rFonts w:eastAsia="Arial" w:cs="Noto Sans"/>
                <w:szCs w:val="18"/>
              </w:rPr>
            </w:pPr>
          </w:p>
        </w:tc>
      </w:tr>
      <w:tr w:rsidR="003C632B" w:rsidRPr="003C632B" w14:paraId="528CD358" w14:textId="77777777" w:rsidTr="004C2F0E">
        <w:tc>
          <w:tcPr>
            <w:tcW w:w="5954" w:type="dxa"/>
            <w:shd w:val="clear" w:color="auto" w:fill="E7E6E6" w:themeFill="background2"/>
            <w:hideMark/>
          </w:tcPr>
          <w:p w14:paraId="1522DECA" w14:textId="77777777" w:rsidR="003C632B" w:rsidRPr="004C2F0E" w:rsidRDefault="003C632B" w:rsidP="003C632B">
            <w:pPr>
              <w:spacing w:before="60" w:after="60"/>
              <w:rPr>
                <w:rFonts w:eastAsia="Arial" w:cs="Noto Sans"/>
                <w:b/>
                <w:bCs/>
                <w:szCs w:val="18"/>
                <w:highlight w:val="yellow"/>
              </w:rPr>
            </w:pPr>
            <w:r w:rsidRPr="004C2F0E">
              <w:rPr>
                <w:rFonts w:eastAsia="Arial" w:cs="Noto Sans"/>
                <w:b/>
                <w:bCs/>
                <w:szCs w:val="18"/>
                <w:highlight w:val="yellow"/>
              </w:rPr>
              <w:t>Milestone 1</w:t>
            </w:r>
          </w:p>
        </w:tc>
        <w:tc>
          <w:tcPr>
            <w:tcW w:w="4258" w:type="dxa"/>
          </w:tcPr>
          <w:p w14:paraId="75C99CAF" w14:textId="77777777" w:rsidR="003C632B" w:rsidRPr="003C632B" w:rsidRDefault="003C632B" w:rsidP="003C632B">
            <w:pPr>
              <w:spacing w:before="60" w:after="60"/>
              <w:rPr>
                <w:rFonts w:eastAsia="Arial" w:cs="Noto Sans"/>
                <w:szCs w:val="18"/>
              </w:rPr>
            </w:pPr>
          </w:p>
        </w:tc>
      </w:tr>
      <w:tr w:rsidR="003C632B" w:rsidRPr="003C632B" w14:paraId="00678880" w14:textId="77777777" w:rsidTr="004C2F0E">
        <w:tc>
          <w:tcPr>
            <w:tcW w:w="5954" w:type="dxa"/>
            <w:shd w:val="clear" w:color="auto" w:fill="E7E6E6" w:themeFill="background2"/>
            <w:hideMark/>
          </w:tcPr>
          <w:p w14:paraId="7F94B4DA" w14:textId="77777777" w:rsidR="003C632B" w:rsidRPr="004C2F0E" w:rsidRDefault="003C632B" w:rsidP="003C632B">
            <w:pPr>
              <w:spacing w:before="60" w:after="60"/>
              <w:rPr>
                <w:rFonts w:eastAsia="Arial" w:cs="Noto Sans"/>
                <w:b/>
                <w:bCs/>
                <w:szCs w:val="18"/>
                <w:highlight w:val="yellow"/>
              </w:rPr>
            </w:pPr>
            <w:r w:rsidRPr="004C2F0E">
              <w:rPr>
                <w:rFonts w:eastAsia="Arial" w:cs="Noto Sans"/>
                <w:b/>
                <w:bCs/>
                <w:szCs w:val="18"/>
                <w:highlight w:val="yellow"/>
              </w:rPr>
              <w:t>Milestone 2</w:t>
            </w:r>
          </w:p>
        </w:tc>
        <w:tc>
          <w:tcPr>
            <w:tcW w:w="4258" w:type="dxa"/>
          </w:tcPr>
          <w:p w14:paraId="06EAFFE4" w14:textId="77777777" w:rsidR="003C632B" w:rsidRPr="003C632B" w:rsidRDefault="003C632B" w:rsidP="003C632B">
            <w:pPr>
              <w:spacing w:before="60" w:after="60"/>
              <w:rPr>
                <w:rFonts w:eastAsia="Arial" w:cs="Noto Sans"/>
                <w:szCs w:val="18"/>
              </w:rPr>
            </w:pPr>
          </w:p>
        </w:tc>
      </w:tr>
      <w:tr w:rsidR="003C632B" w:rsidRPr="003C632B" w14:paraId="2D1FD3FA" w14:textId="77777777" w:rsidTr="004C2F0E">
        <w:tc>
          <w:tcPr>
            <w:tcW w:w="5954" w:type="dxa"/>
            <w:shd w:val="clear" w:color="auto" w:fill="E7E6E6" w:themeFill="background2"/>
            <w:hideMark/>
          </w:tcPr>
          <w:p w14:paraId="1EEC5298" w14:textId="77777777" w:rsidR="003C632B" w:rsidRPr="004C2F0E" w:rsidRDefault="003C632B" w:rsidP="003C632B">
            <w:pPr>
              <w:spacing w:before="60" w:after="60"/>
              <w:rPr>
                <w:rFonts w:eastAsia="Arial" w:cs="Noto Sans"/>
                <w:b/>
                <w:bCs/>
                <w:szCs w:val="18"/>
              </w:rPr>
            </w:pPr>
            <w:r w:rsidRPr="004C2F0E">
              <w:rPr>
                <w:rFonts w:eastAsia="Arial" w:cs="Noto Sans"/>
                <w:b/>
                <w:bCs/>
                <w:szCs w:val="18"/>
              </w:rPr>
              <w:t>Development phase complete</w:t>
            </w:r>
          </w:p>
        </w:tc>
        <w:tc>
          <w:tcPr>
            <w:tcW w:w="4258" w:type="dxa"/>
          </w:tcPr>
          <w:p w14:paraId="6B295E9E" w14:textId="77777777" w:rsidR="003C632B" w:rsidRPr="003C632B" w:rsidRDefault="003C632B" w:rsidP="003C632B">
            <w:pPr>
              <w:spacing w:before="60" w:after="60"/>
              <w:rPr>
                <w:rFonts w:eastAsia="Arial" w:cs="Noto Sans"/>
                <w:szCs w:val="18"/>
              </w:rPr>
            </w:pPr>
          </w:p>
        </w:tc>
      </w:tr>
      <w:tr w:rsidR="003C632B" w:rsidRPr="003C632B" w14:paraId="45883E9F" w14:textId="77777777" w:rsidTr="004C2F0E">
        <w:tc>
          <w:tcPr>
            <w:tcW w:w="5954" w:type="dxa"/>
            <w:shd w:val="clear" w:color="auto" w:fill="E7E6E6" w:themeFill="background2"/>
            <w:hideMark/>
          </w:tcPr>
          <w:p w14:paraId="3913EBF9" w14:textId="77777777" w:rsidR="003C632B" w:rsidRPr="004C2F0E" w:rsidRDefault="003C632B" w:rsidP="003C632B">
            <w:pPr>
              <w:spacing w:before="60" w:after="60"/>
              <w:rPr>
                <w:rFonts w:eastAsia="Arial" w:cs="Noto Sans"/>
                <w:b/>
                <w:bCs/>
                <w:szCs w:val="18"/>
              </w:rPr>
            </w:pPr>
            <w:r w:rsidRPr="004C2F0E">
              <w:rPr>
                <w:rFonts w:eastAsia="Arial" w:cs="Noto Sans"/>
                <w:b/>
                <w:bCs/>
                <w:szCs w:val="18"/>
              </w:rPr>
              <w:t>Business case draft complete</w:t>
            </w:r>
          </w:p>
        </w:tc>
        <w:tc>
          <w:tcPr>
            <w:tcW w:w="4258" w:type="dxa"/>
          </w:tcPr>
          <w:p w14:paraId="4C50743E" w14:textId="77777777" w:rsidR="003C632B" w:rsidRPr="003C632B" w:rsidRDefault="003C632B" w:rsidP="003C632B">
            <w:pPr>
              <w:spacing w:before="60" w:after="60"/>
              <w:rPr>
                <w:rFonts w:eastAsia="Arial" w:cs="Noto Sans"/>
                <w:szCs w:val="18"/>
              </w:rPr>
            </w:pPr>
          </w:p>
        </w:tc>
      </w:tr>
      <w:tr w:rsidR="003C632B" w:rsidRPr="003C632B" w14:paraId="7E45930E" w14:textId="77777777" w:rsidTr="004C2F0E">
        <w:tc>
          <w:tcPr>
            <w:tcW w:w="5954" w:type="dxa"/>
            <w:shd w:val="clear" w:color="auto" w:fill="E7E6E6" w:themeFill="background2"/>
            <w:hideMark/>
          </w:tcPr>
          <w:p w14:paraId="16D73A46" w14:textId="77777777" w:rsidR="003C632B" w:rsidRPr="004C2F0E" w:rsidRDefault="003C632B" w:rsidP="003C632B">
            <w:pPr>
              <w:spacing w:before="60" w:after="60"/>
              <w:rPr>
                <w:rFonts w:eastAsia="Arial" w:cs="Noto Sans"/>
                <w:b/>
                <w:bCs/>
                <w:szCs w:val="18"/>
              </w:rPr>
            </w:pPr>
            <w:r w:rsidRPr="004C2F0E">
              <w:rPr>
                <w:rFonts w:eastAsia="Arial" w:cs="Noto Sans"/>
                <w:b/>
                <w:bCs/>
                <w:szCs w:val="18"/>
              </w:rPr>
              <w:t>Close out phase complete (Contract close)</w:t>
            </w:r>
          </w:p>
        </w:tc>
        <w:tc>
          <w:tcPr>
            <w:tcW w:w="4258" w:type="dxa"/>
          </w:tcPr>
          <w:p w14:paraId="59E3411B" w14:textId="77777777" w:rsidR="003C632B" w:rsidRPr="003C632B" w:rsidRDefault="003C632B" w:rsidP="003C632B">
            <w:pPr>
              <w:spacing w:before="60" w:after="60"/>
              <w:rPr>
                <w:rFonts w:eastAsia="Arial" w:cs="Noto Sans"/>
                <w:szCs w:val="18"/>
              </w:rPr>
            </w:pPr>
          </w:p>
        </w:tc>
      </w:tr>
    </w:tbl>
    <w:p w14:paraId="0DA06623" w14:textId="4802AE4E" w:rsidR="003C632B" w:rsidRPr="00973B0B" w:rsidRDefault="003C632B" w:rsidP="00A833B9">
      <w:pPr>
        <w:tabs>
          <w:tab w:val="left" w:pos="3585"/>
        </w:tabs>
        <w:spacing w:after="0"/>
        <w:rPr>
          <w:rFonts w:cs="Noto Sans"/>
          <w:lang w:val="en-GB"/>
        </w:rPr>
      </w:pPr>
    </w:p>
    <w:sectPr w:rsidR="003C632B" w:rsidRPr="00973B0B" w:rsidSect="002C3A02">
      <w:headerReference w:type="default" r:id="rId14"/>
      <w:footerReference w:type="default" r:id="rId15"/>
      <w:headerReference w:type="first" r:id="rId16"/>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5C57" w14:textId="77777777" w:rsidR="009754A7" w:rsidRDefault="009754A7" w:rsidP="00190C24">
      <w:r>
        <w:separator/>
      </w:r>
    </w:p>
  </w:endnote>
  <w:endnote w:type="continuationSeparator" w:id="0">
    <w:p w14:paraId="539E75B4" w14:textId="77777777" w:rsidR="009754A7" w:rsidRDefault="009754A7"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576" w14:textId="0D30F53B" w:rsidR="00D17E7D" w:rsidRDefault="005C577D">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79EA3316" wp14:editId="084EDEB3">
              <wp:simplePos x="0" y="0"/>
              <wp:positionH relativeFrom="column">
                <wp:posOffset>-50165</wp:posOffset>
              </wp:positionH>
              <wp:positionV relativeFrom="paragraph">
                <wp:posOffset>235585</wp:posOffset>
              </wp:positionV>
              <wp:extent cx="3297555" cy="514350"/>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7555" cy="514350"/>
                      </a:xfrm>
                      <a:prstGeom prst="rect">
                        <a:avLst/>
                      </a:prstGeom>
                      <a:noFill/>
                      <a:ln w="6350">
                        <a:noFill/>
                      </a:ln>
                    </wps:spPr>
                    <wps:txbx>
                      <w:txbxContent>
                        <w:sdt>
                          <w:sdtPr>
                            <w:rPr>
                              <w:rFonts w:cs="Noto Sans"/>
                              <w:b/>
                              <w:bCs/>
                              <w:color w:val="FFFFFF" w:themeColor="background1"/>
                            </w:rPr>
                            <w:id w:val="1639688573"/>
                            <w:docPartObj>
                              <w:docPartGallery w:val="Page Numbers (Bottom of Page)"/>
                              <w:docPartUnique/>
                            </w:docPartObj>
                          </w:sdtPr>
                          <w:sdtEndPr>
                            <w:rPr>
                              <w:noProof/>
                            </w:rPr>
                          </w:sdtEndPr>
                          <w:sdtContent>
                            <w:p w14:paraId="4C5DB95E" w14:textId="1A366CBA" w:rsidR="005C577D" w:rsidRPr="005C577D" w:rsidRDefault="00EC52A1" w:rsidP="005C577D">
                              <w:pPr>
                                <w:spacing w:before="120"/>
                                <w:rPr>
                                  <w:rStyle w:val="Heading1Char"/>
                                  <w:rFonts w:cs="Noto Sans"/>
                                  <w:b w:val="0"/>
                                  <w:bCs/>
                                  <w:color w:val="FFFFFF" w:themeColor="background1"/>
                                </w:rPr>
                              </w:pPr>
                              <w:r w:rsidRPr="005C577D">
                                <w:rPr>
                                  <w:rFonts w:cs="Noto Sans"/>
                                  <w:b/>
                                  <w:bCs/>
                                  <w:color w:val="FFFFFF" w:themeColor="background1"/>
                                </w:rPr>
                                <w:fldChar w:fldCharType="begin"/>
                              </w:r>
                              <w:r w:rsidRPr="005C577D">
                                <w:rPr>
                                  <w:rFonts w:cs="Noto Sans"/>
                                  <w:b/>
                                  <w:bCs/>
                                  <w:color w:val="FFFFFF" w:themeColor="background1"/>
                                </w:rPr>
                                <w:instrText xml:space="preserve"> PAGE   \* MERGEFORMAT </w:instrText>
                              </w:r>
                              <w:r w:rsidRPr="005C577D">
                                <w:rPr>
                                  <w:rFonts w:cs="Noto Sans"/>
                                  <w:b/>
                                  <w:bCs/>
                                  <w:color w:val="FFFFFF" w:themeColor="background1"/>
                                </w:rPr>
                                <w:fldChar w:fldCharType="separate"/>
                              </w:r>
                              <w:r w:rsidRPr="005C577D">
                                <w:rPr>
                                  <w:rFonts w:cs="Noto Sans"/>
                                  <w:b/>
                                  <w:bCs/>
                                  <w:color w:val="FFFFFF" w:themeColor="background1"/>
                                </w:rPr>
                                <w:t>1</w:t>
                              </w:r>
                              <w:r w:rsidRPr="005C577D">
                                <w:rPr>
                                  <w:rFonts w:cs="Noto Sans"/>
                                  <w:b/>
                                  <w:bCs/>
                                  <w:noProof/>
                                  <w:color w:val="FFFFFF" w:themeColor="background1"/>
                                </w:rPr>
                                <w:fldChar w:fldCharType="end"/>
                              </w:r>
                              <w:r w:rsidRPr="005C577D">
                                <w:rPr>
                                  <w:rFonts w:cs="Noto Sans"/>
                                  <w:b/>
                                  <w:bCs/>
                                  <w:noProof/>
                                  <w:color w:val="FFFFFF" w:themeColor="background1"/>
                                </w:rPr>
                                <w:t xml:space="preserve"> </w:t>
                              </w:r>
                              <w:r w:rsidRPr="00DE64F0">
                                <w:rPr>
                                  <w:rFonts w:ascii="MS Gothic" w:eastAsia="MS Gothic" w:hAnsi="MS Gothic" w:cs="MS Gothic" w:hint="eastAsia"/>
                                  <w:noProof/>
                                  <w:color w:val="FFFFFF" w:themeColor="background1"/>
                                </w:rPr>
                                <w:t>│</w:t>
                              </w:r>
                              <w:r w:rsidRPr="005C577D">
                                <w:rPr>
                                  <w:rFonts w:cs="Noto Sans"/>
                                  <w:b/>
                                  <w:bCs/>
                                  <w:noProof/>
                                  <w:color w:val="FFFFFF" w:themeColor="background1"/>
                                </w:rPr>
                                <w:t xml:space="preserve"> </w:t>
                              </w:r>
                              <w:sdt>
                                <w:sdtPr>
                                  <w:rPr>
                                    <w:rStyle w:val="Heading1Char"/>
                                    <w:rFonts w:cs="Noto Sans"/>
                                    <w:b w:val="0"/>
                                    <w:bCs/>
                                    <w:color w:val="FFFFFF" w:themeColor="background1"/>
                                    <w:sz w:val="20"/>
                                    <w:szCs w:val="20"/>
                                  </w:rPr>
                                  <w:alias w:val="Subject"/>
                                  <w:id w:val="-397663004"/>
                                  <w:placeholder>
                                    <w:docPart w:val="453493B4EE194C8A9CF0F7E517EA466D"/>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8D54C5">
                                    <w:rPr>
                                      <w:rStyle w:val="Heading1Char"/>
                                      <w:rFonts w:cs="Noto Sans"/>
                                      <w:b w:val="0"/>
                                      <w:bCs/>
                                      <w:color w:val="FFFFFF" w:themeColor="background1"/>
                                      <w:sz w:val="20"/>
                                      <w:szCs w:val="20"/>
                                    </w:rPr>
                                    <w:t>Advisory Services – Financial and Commercial</w:t>
                                  </w:r>
                                </w:sdtContent>
                              </w:sdt>
                            </w:p>
                            <w:p w14:paraId="4180BD32" w14:textId="429D1A46" w:rsidR="00EC52A1" w:rsidRPr="005C577D" w:rsidRDefault="00277CCB" w:rsidP="00EC52A1">
                              <w:pPr>
                                <w:pStyle w:val="Footer"/>
                                <w:rPr>
                                  <w:rFonts w:cs="Noto Sans"/>
                                  <w:b/>
                                  <w:bCs/>
                                  <w:color w:val="FFFFFF" w:themeColor="background1"/>
                                </w:rPr>
                              </w:pPr>
                            </w:p>
                          </w:sdtContent>
                        </w:sdt>
                        <w:p w14:paraId="02E70833" w14:textId="77777777" w:rsidR="00EC52A1" w:rsidRDefault="00EC52A1" w:rsidP="00EC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A3316" id="_x0000_t202" coordsize="21600,21600" o:spt="202" path="m,l,21600r21600,l21600,xe">
              <v:stroke joinstyle="miter"/>
              <v:path gradientshapeok="t" o:connecttype="rect"/>
            </v:shapetype>
            <v:shape id="Text Box 1" o:spid="_x0000_s1026" type="#_x0000_t202" style="position:absolute;margin-left:-3.95pt;margin-top:18.55pt;width:259.6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" filled="f" stroked="f" strokeweight=".5pt">
              <v:textbox>
                <w:txbxContent>
                  <w:sdt>
                    <w:sdtPr>
                      <w:rPr>
                        <w:rFonts w:cs="Noto Sans"/>
                        <w:b/>
                        <w:bCs/>
                        <w:color w:val="FFFFFF" w:themeColor="background1"/>
                      </w:rPr>
                      <w:id w:val="1639688573"/>
                      <w:docPartObj>
                        <w:docPartGallery w:val="Page Numbers (Bottom of Page)"/>
                        <w:docPartUnique/>
                      </w:docPartObj>
                    </w:sdtPr>
                    <w:sdtEndPr>
                      <w:rPr>
                        <w:noProof/>
                      </w:rPr>
                    </w:sdtEndPr>
                    <w:sdtContent>
                      <w:p w14:paraId="4C5DB95E" w14:textId="1A366CBA" w:rsidR="005C577D" w:rsidRPr="005C577D" w:rsidRDefault="00EC52A1" w:rsidP="005C577D">
                        <w:pPr>
                          <w:spacing w:before="120"/>
                          <w:rPr>
                            <w:rStyle w:val="Heading1Char"/>
                            <w:rFonts w:cs="Noto Sans"/>
                            <w:b w:val="0"/>
                            <w:bCs/>
                            <w:color w:val="FFFFFF" w:themeColor="background1"/>
                          </w:rPr>
                        </w:pPr>
                        <w:r w:rsidRPr="005C577D">
                          <w:rPr>
                            <w:rFonts w:cs="Noto Sans"/>
                            <w:b/>
                            <w:bCs/>
                            <w:color w:val="FFFFFF" w:themeColor="background1"/>
                          </w:rPr>
                          <w:fldChar w:fldCharType="begin"/>
                        </w:r>
                        <w:r w:rsidRPr="005C577D">
                          <w:rPr>
                            <w:rFonts w:cs="Noto Sans"/>
                            <w:b/>
                            <w:bCs/>
                            <w:color w:val="FFFFFF" w:themeColor="background1"/>
                          </w:rPr>
                          <w:instrText xml:space="preserve"> PAGE   \* MERGEFORMAT </w:instrText>
                        </w:r>
                        <w:r w:rsidRPr="005C577D">
                          <w:rPr>
                            <w:rFonts w:cs="Noto Sans"/>
                            <w:b/>
                            <w:bCs/>
                            <w:color w:val="FFFFFF" w:themeColor="background1"/>
                          </w:rPr>
                          <w:fldChar w:fldCharType="separate"/>
                        </w:r>
                        <w:r w:rsidRPr="005C577D">
                          <w:rPr>
                            <w:rFonts w:cs="Noto Sans"/>
                            <w:b/>
                            <w:bCs/>
                            <w:color w:val="FFFFFF" w:themeColor="background1"/>
                          </w:rPr>
                          <w:t>1</w:t>
                        </w:r>
                        <w:r w:rsidRPr="005C577D">
                          <w:rPr>
                            <w:rFonts w:cs="Noto Sans"/>
                            <w:b/>
                            <w:bCs/>
                            <w:noProof/>
                            <w:color w:val="FFFFFF" w:themeColor="background1"/>
                          </w:rPr>
                          <w:fldChar w:fldCharType="end"/>
                        </w:r>
                        <w:r w:rsidRPr="005C577D">
                          <w:rPr>
                            <w:rFonts w:cs="Noto Sans"/>
                            <w:b/>
                            <w:bCs/>
                            <w:noProof/>
                            <w:color w:val="FFFFFF" w:themeColor="background1"/>
                          </w:rPr>
                          <w:t xml:space="preserve"> </w:t>
                        </w:r>
                        <w:r w:rsidRPr="00DE64F0">
                          <w:rPr>
                            <w:rFonts w:ascii="MS Gothic" w:eastAsia="MS Gothic" w:hAnsi="MS Gothic" w:cs="MS Gothic" w:hint="eastAsia"/>
                            <w:noProof/>
                            <w:color w:val="FFFFFF" w:themeColor="background1"/>
                          </w:rPr>
                          <w:t>│</w:t>
                        </w:r>
                        <w:r w:rsidRPr="005C577D">
                          <w:rPr>
                            <w:rFonts w:cs="Noto Sans"/>
                            <w:b/>
                            <w:bCs/>
                            <w:noProof/>
                            <w:color w:val="FFFFFF" w:themeColor="background1"/>
                          </w:rPr>
                          <w:t xml:space="preserve"> </w:t>
                        </w:r>
                        <w:sdt>
                          <w:sdtPr>
                            <w:rPr>
                              <w:rStyle w:val="Heading1Char"/>
                              <w:rFonts w:cs="Noto Sans"/>
                              <w:b w:val="0"/>
                              <w:bCs/>
                              <w:color w:val="FFFFFF" w:themeColor="background1"/>
                              <w:sz w:val="20"/>
                              <w:szCs w:val="20"/>
                            </w:rPr>
                            <w:alias w:val="Subject"/>
                            <w:id w:val="-397663004"/>
                            <w:placeholder>
                              <w:docPart w:val="453493B4EE194C8A9CF0F7E517EA466D"/>
                            </w:placeholder>
                            <w:dataBinding w:prefixMappings="xmlns:ns0='http://purl.org/dc/elements/1.1/' xmlns:ns1='http://schemas.openxmlformats.org/package/2006/metadata/core-properties' " w:xpath="/ns1:coreProperties[1]/ns0:subject[1]" w:storeItemID="{6C3C8BC8-F283-45AE-878A-BAB7291924A1}"/>
                            <w:text/>
                          </w:sdtPr>
                          <w:sdtContent>
                            <w:r w:rsidR="008D54C5">
                              <w:rPr>
                                <w:rStyle w:val="Heading1Char"/>
                                <w:rFonts w:cs="Noto Sans"/>
                                <w:b w:val="0"/>
                                <w:bCs/>
                                <w:color w:val="FFFFFF" w:themeColor="background1"/>
                                <w:sz w:val="20"/>
                                <w:szCs w:val="20"/>
                              </w:rPr>
                              <w:t>Advisory Services – Financial and Commercial</w:t>
                            </w:r>
                          </w:sdtContent>
                        </w:sdt>
                      </w:p>
                      <w:p w14:paraId="4180BD32" w14:textId="429D1A46" w:rsidR="00EC52A1" w:rsidRPr="005C577D" w:rsidRDefault="00000000" w:rsidP="00EC52A1">
                        <w:pPr>
                          <w:pStyle w:val="Footer"/>
                          <w:rPr>
                            <w:rFonts w:cs="Noto Sans"/>
                            <w:b/>
                            <w:bCs/>
                            <w:color w:val="FFFFFF" w:themeColor="background1"/>
                          </w:rPr>
                        </w:pPr>
                      </w:p>
                    </w:sdtContent>
                  </w:sdt>
                  <w:p w14:paraId="02E70833" w14:textId="77777777" w:rsidR="00EC52A1" w:rsidRDefault="00EC52A1" w:rsidP="00EC52A1"/>
                </w:txbxContent>
              </v:textbox>
            </v:shape>
          </w:pict>
        </mc:Fallback>
      </mc:AlternateContent>
    </w:r>
    <w:r w:rsidR="002C3A02">
      <w:rPr>
        <w:noProof/>
      </w:rPr>
      <mc:AlternateContent>
        <mc:Choice Requires="wps">
          <w:drawing>
            <wp:anchor distT="0" distB="0" distL="114300" distR="114300" simplePos="0" relativeHeight="251658241" behindDoc="1" locked="1" layoutInCell="1" allowOverlap="1" wp14:anchorId="04A807F2" wp14:editId="2071DDC8">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2AF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sidR="002C3A02">
      <w:rPr>
        <w:noProof/>
      </w:rPr>
      <w:drawing>
        <wp:anchor distT="0" distB="0" distL="114300" distR="114300" simplePos="0" relativeHeight="251658242" behindDoc="1" locked="0" layoutInCell="1" allowOverlap="1" wp14:anchorId="2D9CB407" wp14:editId="6FB3498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BA1D0D3" w14:textId="285CDA57" w:rsidR="00D17E7D" w:rsidRDefault="00D17E7D">
    <w:pPr>
      <w:pStyle w:val="Footer"/>
    </w:pPr>
  </w:p>
  <w:p w14:paraId="19D50A24" w14:textId="778B85D5"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B6D5" w14:textId="77777777" w:rsidR="009754A7" w:rsidRDefault="009754A7" w:rsidP="00190C24">
      <w:r>
        <w:separator/>
      </w:r>
    </w:p>
  </w:footnote>
  <w:footnote w:type="continuationSeparator" w:id="0">
    <w:p w14:paraId="7F19CA0C" w14:textId="77777777" w:rsidR="009754A7" w:rsidRDefault="009754A7"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F73" w14:textId="77777777" w:rsidR="00273E87" w:rsidRDefault="00273E87" w:rsidP="00555C3B">
    <w:pPr>
      <w:pStyle w:val="Header"/>
      <w:rPr>
        <w:lang w:val="en-US"/>
      </w:rPr>
    </w:pPr>
  </w:p>
  <w:p w14:paraId="7D6B1C5C" w14:textId="7460375E"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363F19AC" wp14:editId="6B752EC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1FF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76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208" w:hanging="360"/>
      </w:pPr>
    </w:lvl>
    <w:lvl w:ilvl="1" w:tplc="08090019" w:tentative="1">
      <w:start w:val="1"/>
      <w:numFmt w:val="lowerLetter"/>
      <w:lvlText w:val="%2."/>
      <w:lvlJc w:val="left"/>
      <w:pPr>
        <w:ind w:left="928" w:hanging="360"/>
      </w:pPr>
    </w:lvl>
    <w:lvl w:ilvl="2" w:tplc="0809001B" w:tentative="1">
      <w:start w:val="1"/>
      <w:numFmt w:val="lowerRoman"/>
      <w:lvlText w:val="%3."/>
      <w:lvlJc w:val="right"/>
      <w:pPr>
        <w:ind w:left="1648" w:hanging="180"/>
      </w:pPr>
    </w:lvl>
    <w:lvl w:ilvl="3" w:tplc="0809000F" w:tentative="1">
      <w:start w:val="1"/>
      <w:numFmt w:val="decimal"/>
      <w:lvlText w:val="%4."/>
      <w:lvlJc w:val="left"/>
      <w:pPr>
        <w:ind w:left="2368" w:hanging="360"/>
      </w:pPr>
    </w:lvl>
    <w:lvl w:ilvl="4" w:tplc="08090019" w:tentative="1">
      <w:start w:val="1"/>
      <w:numFmt w:val="lowerLetter"/>
      <w:lvlText w:val="%5."/>
      <w:lvlJc w:val="left"/>
      <w:pPr>
        <w:ind w:left="3088" w:hanging="360"/>
      </w:pPr>
    </w:lvl>
    <w:lvl w:ilvl="5" w:tplc="0809001B" w:tentative="1">
      <w:start w:val="1"/>
      <w:numFmt w:val="lowerRoman"/>
      <w:lvlText w:val="%6."/>
      <w:lvlJc w:val="right"/>
      <w:pPr>
        <w:ind w:left="3808" w:hanging="180"/>
      </w:pPr>
    </w:lvl>
    <w:lvl w:ilvl="6" w:tplc="0809000F" w:tentative="1">
      <w:start w:val="1"/>
      <w:numFmt w:val="decimal"/>
      <w:lvlText w:val="%7."/>
      <w:lvlJc w:val="left"/>
      <w:pPr>
        <w:ind w:left="4528" w:hanging="360"/>
      </w:pPr>
    </w:lvl>
    <w:lvl w:ilvl="7" w:tplc="08090019" w:tentative="1">
      <w:start w:val="1"/>
      <w:numFmt w:val="lowerLetter"/>
      <w:lvlText w:val="%8."/>
      <w:lvlJc w:val="left"/>
      <w:pPr>
        <w:ind w:left="5248" w:hanging="360"/>
      </w:pPr>
    </w:lvl>
    <w:lvl w:ilvl="8" w:tplc="0809001B" w:tentative="1">
      <w:start w:val="1"/>
      <w:numFmt w:val="lowerRoman"/>
      <w:lvlText w:val="%9."/>
      <w:lvlJc w:val="right"/>
      <w:pPr>
        <w:ind w:left="5968" w:hanging="180"/>
      </w:pPr>
    </w:lvl>
  </w:abstractNum>
  <w:abstractNum w:abstractNumId="1" w15:restartNumberingAfterBreak="0">
    <w:nsid w:val="03377E7B"/>
    <w:multiLevelType w:val="multilevel"/>
    <w:tmpl w:val="D060A682"/>
    <w:lvl w:ilvl="0">
      <w:start w:val="1"/>
      <w:numFmt w:val="decimal"/>
      <w:pStyle w:val="Heading1"/>
      <w:lvlText w:val="%1."/>
      <w:lvlJc w:val="left"/>
      <w:pPr>
        <w:ind w:left="360" w:hanging="360"/>
      </w:p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DA10439"/>
    <w:multiLevelType w:val="multilevel"/>
    <w:tmpl w:val="732E2980"/>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 w15:restartNumberingAfterBreak="0">
    <w:nsid w:val="0FF4245D"/>
    <w:multiLevelType w:val="hybridMultilevel"/>
    <w:tmpl w:val="70366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B3DD9"/>
    <w:multiLevelType w:val="multilevel"/>
    <w:tmpl w:val="E230EA8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B1808"/>
    <w:multiLevelType w:val="hybridMultilevel"/>
    <w:tmpl w:val="A8E26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45FF6"/>
    <w:multiLevelType w:val="hybridMultilevel"/>
    <w:tmpl w:val="4B3E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F70713"/>
    <w:multiLevelType w:val="hybridMultilevel"/>
    <w:tmpl w:val="35349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B1269D"/>
    <w:multiLevelType w:val="hybridMultilevel"/>
    <w:tmpl w:val="CCB0F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255E7B"/>
    <w:multiLevelType w:val="hybridMultilevel"/>
    <w:tmpl w:val="CDC22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59D45E6A"/>
    <w:multiLevelType w:val="hybridMultilevel"/>
    <w:tmpl w:val="437A0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F2600B6"/>
    <w:multiLevelType w:val="hybridMultilevel"/>
    <w:tmpl w:val="21EA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61896"/>
    <w:multiLevelType w:val="hybridMultilevel"/>
    <w:tmpl w:val="BF00FD38"/>
    <w:lvl w:ilvl="0" w:tplc="36B2A69A">
      <w:start w:val="1"/>
      <w:numFmt w:val="bullet"/>
      <w:lvlText w:val="-"/>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6E713700"/>
    <w:multiLevelType w:val="hybridMultilevel"/>
    <w:tmpl w:val="52088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08624E"/>
    <w:multiLevelType w:val="hybridMultilevel"/>
    <w:tmpl w:val="A2588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13"/>
  </w:num>
  <w:num w:numId="3" w16cid:durableId="424690506">
    <w:abstractNumId w:val="8"/>
  </w:num>
  <w:num w:numId="4" w16cid:durableId="1352219071">
    <w:abstractNumId w:val="0"/>
  </w:num>
  <w:num w:numId="5" w16cid:durableId="688750406">
    <w:abstractNumId w:val="21"/>
  </w:num>
  <w:num w:numId="6" w16cid:durableId="1022130639">
    <w:abstractNumId w:val="20"/>
  </w:num>
  <w:num w:numId="7" w16cid:durableId="1282805254">
    <w:abstractNumId w:val="6"/>
  </w:num>
  <w:num w:numId="8" w16cid:durableId="449936833">
    <w:abstractNumId w:val="16"/>
  </w:num>
  <w:num w:numId="9" w16cid:durableId="73671201">
    <w:abstractNumId w:val="14"/>
  </w:num>
  <w:num w:numId="10" w16cid:durableId="731385542">
    <w:abstractNumId w:val="1"/>
  </w:num>
  <w:num w:numId="11" w16cid:durableId="888420450">
    <w:abstractNumId w:val="1"/>
  </w:num>
  <w:num w:numId="12" w16cid:durableId="1234465793">
    <w:abstractNumId w:val="1"/>
  </w:num>
  <w:num w:numId="13" w16cid:durableId="666129424">
    <w:abstractNumId w:val="1"/>
  </w:num>
  <w:num w:numId="14" w16cid:durableId="466821615">
    <w:abstractNumId w:val="1"/>
  </w:num>
  <w:num w:numId="15" w16cid:durableId="1675842306">
    <w:abstractNumId w:val="1"/>
  </w:num>
  <w:num w:numId="16" w16cid:durableId="1513255092">
    <w:abstractNumId w:val="1"/>
  </w:num>
  <w:num w:numId="17" w16cid:durableId="935015039">
    <w:abstractNumId w:val="1"/>
  </w:num>
  <w:num w:numId="18" w16cid:durableId="1825200260">
    <w:abstractNumId w:val="1"/>
  </w:num>
  <w:num w:numId="19" w16cid:durableId="507333452">
    <w:abstractNumId w:val="1"/>
  </w:num>
  <w:num w:numId="20" w16cid:durableId="1666934045">
    <w:abstractNumId w:val="12"/>
  </w:num>
  <w:num w:numId="21" w16cid:durableId="1731466582">
    <w:abstractNumId w:val="9"/>
  </w:num>
  <w:num w:numId="22" w16cid:durableId="733938188">
    <w:abstractNumId w:val="14"/>
  </w:num>
  <w:num w:numId="23" w16cid:durableId="1908878703">
    <w:abstractNumId w:val="10"/>
  </w:num>
  <w:num w:numId="24" w16cid:durableId="1014377692">
    <w:abstractNumId w:val="11"/>
  </w:num>
  <w:num w:numId="25" w16cid:durableId="690302008">
    <w:abstractNumId w:val="7"/>
  </w:num>
  <w:num w:numId="26" w16cid:durableId="1780492139">
    <w:abstractNumId w:val="17"/>
  </w:num>
  <w:num w:numId="27" w16cid:durableId="572814726">
    <w:abstractNumId w:val="18"/>
  </w:num>
  <w:num w:numId="28" w16cid:durableId="497698402">
    <w:abstractNumId w:val="15"/>
  </w:num>
  <w:num w:numId="29" w16cid:durableId="737050295">
    <w:abstractNumId w:val="4"/>
  </w:num>
  <w:num w:numId="30" w16cid:durableId="158008319">
    <w:abstractNumId w:val="19"/>
  </w:num>
  <w:num w:numId="31" w16cid:durableId="758058873">
    <w:abstractNumId w:val="8"/>
  </w:num>
  <w:num w:numId="32" w16cid:durableId="732238169">
    <w:abstractNumId w:val="8"/>
  </w:num>
  <w:num w:numId="33" w16cid:durableId="947393402">
    <w:abstractNumId w:val="8"/>
  </w:num>
  <w:num w:numId="34" w16cid:durableId="229273937">
    <w:abstractNumId w:val="5"/>
  </w:num>
  <w:num w:numId="35" w16cid:durableId="1012729001">
    <w:abstractNumId w:val="3"/>
  </w:num>
  <w:num w:numId="36" w16cid:durableId="530723114">
    <w:abstractNumId w:val="1"/>
  </w:num>
  <w:num w:numId="37" w16cid:durableId="180604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B"/>
    <w:rsid w:val="00003124"/>
    <w:rsid w:val="00007985"/>
    <w:rsid w:val="0002155B"/>
    <w:rsid w:val="000425F7"/>
    <w:rsid w:val="000436FC"/>
    <w:rsid w:val="0005471A"/>
    <w:rsid w:val="00066E58"/>
    <w:rsid w:val="000B4308"/>
    <w:rsid w:val="000B61AC"/>
    <w:rsid w:val="000C48D8"/>
    <w:rsid w:val="000C6874"/>
    <w:rsid w:val="000E1223"/>
    <w:rsid w:val="000F4E58"/>
    <w:rsid w:val="000F7FDE"/>
    <w:rsid w:val="001000FC"/>
    <w:rsid w:val="00101904"/>
    <w:rsid w:val="0011122C"/>
    <w:rsid w:val="001206C4"/>
    <w:rsid w:val="001222EA"/>
    <w:rsid w:val="00134EFF"/>
    <w:rsid w:val="0014521E"/>
    <w:rsid w:val="00190C24"/>
    <w:rsid w:val="001C11D2"/>
    <w:rsid w:val="001C43F0"/>
    <w:rsid w:val="001E70E9"/>
    <w:rsid w:val="001F2B12"/>
    <w:rsid w:val="001F3A36"/>
    <w:rsid w:val="00211EB2"/>
    <w:rsid w:val="00227C27"/>
    <w:rsid w:val="002371F7"/>
    <w:rsid w:val="0024520B"/>
    <w:rsid w:val="002706E8"/>
    <w:rsid w:val="00273E87"/>
    <w:rsid w:val="00277CCB"/>
    <w:rsid w:val="002B15E5"/>
    <w:rsid w:val="002B5219"/>
    <w:rsid w:val="002B7607"/>
    <w:rsid w:val="002C3A02"/>
    <w:rsid w:val="002C47FC"/>
    <w:rsid w:val="002D2D4F"/>
    <w:rsid w:val="002E1B2E"/>
    <w:rsid w:val="002E3E34"/>
    <w:rsid w:val="002F78A2"/>
    <w:rsid w:val="00320670"/>
    <w:rsid w:val="00330638"/>
    <w:rsid w:val="00337EAA"/>
    <w:rsid w:val="00355E78"/>
    <w:rsid w:val="0038014A"/>
    <w:rsid w:val="0038096F"/>
    <w:rsid w:val="00385A56"/>
    <w:rsid w:val="00396D5E"/>
    <w:rsid w:val="003975D2"/>
    <w:rsid w:val="003B361F"/>
    <w:rsid w:val="003C33FE"/>
    <w:rsid w:val="003C632B"/>
    <w:rsid w:val="003D33F7"/>
    <w:rsid w:val="003D540F"/>
    <w:rsid w:val="003E5C52"/>
    <w:rsid w:val="003F643A"/>
    <w:rsid w:val="00400BF0"/>
    <w:rsid w:val="00402CFC"/>
    <w:rsid w:val="00403EF1"/>
    <w:rsid w:val="00404BCA"/>
    <w:rsid w:val="00416A49"/>
    <w:rsid w:val="00442FE1"/>
    <w:rsid w:val="004468D2"/>
    <w:rsid w:val="004562DA"/>
    <w:rsid w:val="00476A07"/>
    <w:rsid w:val="004A5E19"/>
    <w:rsid w:val="004C2F0E"/>
    <w:rsid w:val="004E5A25"/>
    <w:rsid w:val="004E62A1"/>
    <w:rsid w:val="00540992"/>
    <w:rsid w:val="00543A32"/>
    <w:rsid w:val="00555585"/>
    <w:rsid w:val="0055582F"/>
    <w:rsid w:val="00555C3B"/>
    <w:rsid w:val="005A28EB"/>
    <w:rsid w:val="005B0EC5"/>
    <w:rsid w:val="005B79A8"/>
    <w:rsid w:val="005C577D"/>
    <w:rsid w:val="005C68D9"/>
    <w:rsid w:val="005F4331"/>
    <w:rsid w:val="005F7E6D"/>
    <w:rsid w:val="006148E3"/>
    <w:rsid w:val="0062040F"/>
    <w:rsid w:val="006239A5"/>
    <w:rsid w:val="00636B71"/>
    <w:rsid w:val="006420CC"/>
    <w:rsid w:val="00642546"/>
    <w:rsid w:val="00646AE8"/>
    <w:rsid w:val="00672747"/>
    <w:rsid w:val="006811B6"/>
    <w:rsid w:val="006A4A91"/>
    <w:rsid w:val="006C3D8E"/>
    <w:rsid w:val="006F0011"/>
    <w:rsid w:val="006F1B8A"/>
    <w:rsid w:val="007274E7"/>
    <w:rsid w:val="00792FC7"/>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8C2FC2"/>
    <w:rsid w:val="008D54C5"/>
    <w:rsid w:val="00907963"/>
    <w:rsid w:val="009150D7"/>
    <w:rsid w:val="009222D8"/>
    <w:rsid w:val="00931647"/>
    <w:rsid w:val="00936613"/>
    <w:rsid w:val="00956995"/>
    <w:rsid w:val="0096078C"/>
    <w:rsid w:val="0096595E"/>
    <w:rsid w:val="009659AB"/>
    <w:rsid w:val="00973B0B"/>
    <w:rsid w:val="009754A7"/>
    <w:rsid w:val="009A5056"/>
    <w:rsid w:val="009A6215"/>
    <w:rsid w:val="009A7275"/>
    <w:rsid w:val="009B7893"/>
    <w:rsid w:val="009E5EE5"/>
    <w:rsid w:val="009F02B3"/>
    <w:rsid w:val="00A25C20"/>
    <w:rsid w:val="00A25FB3"/>
    <w:rsid w:val="00A36618"/>
    <w:rsid w:val="00A37A8D"/>
    <w:rsid w:val="00A40883"/>
    <w:rsid w:val="00A47F67"/>
    <w:rsid w:val="00A65710"/>
    <w:rsid w:val="00A833B9"/>
    <w:rsid w:val="00A86680"/>
    <w:rsid w:val="00AA6AD6"/>
    <w:rsid w:val="00AB0A25"/>
    <w:rsid w:val="00AC555D"/>
    <w:rsid w:val="00AD2501"/>
    <w:rsid w:val="00AD5F26"/>
    <w:rsid w:val="00AE022D"/>
    <w:rsid w:val="00AF7DD9"/>
    <w:rsid w:val="00B04635"/>
    <w:rsid w:val="00B30EA8"/>
    <w:rsid w:val="00B33337"/>
    <w:rsid w:val="00B613E4"/>
    <w:rsid w:val="00B62F52"/>
    <w:rsid w:val="00B639CA"/>
    <w:rsid w:val="00B70170"/>
    <w:rsid w:val="00B8699D"/>
    <w:rsid w:val="00B9771E"/>
    <w:rsid w:val="00BB6DB7"/>
    <w:rsid w:val="00BC4AA9"/>
    <w:rsid w:val="00BC6556"/>
    <w:rsid w:val="00BD0F68"/>
    <w:rsid w:val="00BD2974"/>
    <w:rsid w:val="00C07E26"/>
    <w:rsid w:val="00C31759"/>
    <w:rsid w:val="00C324A9"/>
    <w:rsid w:val="00C33A93"/>
    <w:rsid w:val="00C51A70"/>
    <w:rsid w:val="00C51D08"/>
    <w:rsid w:val="00C75C2F"/>
    <w:rsid w:val="00CA66DC"/>
    <w:rsid w:val="00CB07AD"/>
    <w:rsid w:val="00CB609F"/>
    <w:rsid w:val="00CC7632"/>
    <w:rsid w:val="00CD57A1"/>
    <w:rsid w:val="00CD793C"/>
    <w:rsid w:val="00D01CD2"/>
    <w:rsid w:val="00D13431"/>
    <w:rsid w:val="00D17E6A"/>
    <w:rsid w:val="00D17E7D"/>
    <w:rsid w:val="00D23470"/>
    <w:rsid w:val="00D40249"/>
    <w:rsid w:val="00D412BA"/>
    <w:rsid w:val="00D5378B"/>
    <w:rsid w:val="00D75050"/>
    <w:rsid w:val="00D839C2"/>
    <w:rsid w:val="00D842DF"/>
    <w:rsid w:val="00D94442"/>
    <w:rsid w:val="00DC5E03"/>
    <w:rsid w:val="00DD5973"/>
    <w:rsid w:val="00DE1E49"/>
    <w:rsid w:val="00DE64F0"/>
    <w:rsid w:val="00DF2836"/>
    <w:rsid w:val="00E3336E"/>
    <w:rsid w:val="00E42000"/>
    <w:rsid w:val="00E441D6"/>
    <w:rsid w:val="00E47FB8"/>
    <w:rsid w:val="00E872C5"/>
    <w:rsid w:val="00EA2EFC"/>
    <w:rsid w:val="00EC52A1"/>
    <w:rsid w:val="00EF474F"/>
    <w:rsid w:val="00EF4AC5"/>
    <w:rsid w:val="00F16981"/>
    <w:rsid w:val="00F367B3"/>
    <w:rsid w:val="00F37CA9"/>
    <w:rsid w:val="00F43573"/>
    <w:rsid w:val="00F447A2"/>
    <w:rsid w:val="00F44AD3"/>
    <w:rsid w:val="00F52025"/>
    <w:rsid w:val="00F81184"/>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C11A"/>
  <w15:chartTrackingRefBased/>
  <w15:docId w15:val="{83815930-5735-4A42-8A73-D9DF5DC7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400BF0"/>
    <w:pPr>
      <w:keepNext/>
      <w:widowControl w:val="0"/>
      <w:numPr>
        <w:numId w:val="10"/>
      </w:numPr>
      <w:tabs>
        <w:tab w:val="left" w:pos="1701"/>
      </w:tabs>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400BF0"/>
    <w:pPr>
      <w:keepNext/>
      <w:numPr>
        <w:ilvl w:val="1"/>
        <w:numId w:val="10"/>
      </w:numPr>
      <w:spacing w:before="240"/>
      <w:outlineLvl w:val="1"/>
    </w:pPr>
    <w:rPr>
      <w:rFonts w:eastAsia="Times New Roman" w:cs="Arial"/>
      <w:b/>
      <w:bCs/>
      <w:sz w:val="32"/>
      <w:szCs w:val="40"/>
    </w:rPr>
  </w:style>
  <w:style w:type="paragraph" w:styleId="Heading3">
    <w:name w:val="heading 3"/>
    <w:basedOn w:val="Normal"/>
    <w:next w:val="Normal"/>
    <w:link w:val="Heading3Char"/>
    <w:autoRedefine/>
    <w:uiPriority w:val="6"/>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6"/>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400BF0"/>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400BF0"/>
    <w:rPr>
      <w:rFonts w:ascii="Noto Sans" w:eastAsia="Times New Roman" w:hAnsi="Noto Sans"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table" w:customStyle="1" w:styleId="TableGrid1">
    <w:name w:val="Table Grid1"/>
    <w:basedOn w:val="TableNormal"/>
    <w:next w:val="TableGrid"/>
    <w:rsid w:val="003C632B"/>
    <w:pPr>
      <w:spacing w:before="60"/>
    </w:pPr>
    <w:rPr>
      <w:rFonts w:ascii="Arial" w:eastAsia="Arial" w:hAnsi="Arial" w:cs="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C632B"/>
    <w:pPr>
      <w:spacing w:before="60"/>
    </w:pPr>
    <w:rPr>
      <w:rFonts w:ascii="Arial" w:eastAsia="Arial" w:hAnsi="Arial" w:cs="Times New Roman"/>
      <w:sz w:val="18"/>
      <w:szCs w:val="18"/>
    </w:rPr>
    <w:tblPr>
      <w:tblStyleRowBandSize w:val="1"/>
      <w:tblInd w:w="0" w:type="nil"/>
      <w:tblBorders>
        <w:top w:val="single" w:sz="4" w:space="0" w:color="BFBFBF"/>
        <w:bottom w:val="single" w:sz="4" w:space="0" w:color="BFBFBF"/>
        <w:insideH w:val="single" w:sz="4" w:space="0" w:color="BFBFBF"/>
      </w:tblBorders>
    </w:tblPr>
    <w:tblStylePr w:type="firstRow">
      <w:tblPr/>
      <w:tcPr>
        <w:shd w:val="clear" w:color="auto" w:fill="D5D5D5"/>
      </w:tcPr>
    </w:tblStylePr>
  </w:style>
  <w:style w:type="character" w:styleId="PlaceholderText">
    <w:name w:val="Placeholder Text"/>
    <w:basedOn w:val="DefaultParagraphFont"/>
    <w:uiPriority w:val="99"/>
    <w:semiHidden/>
    <w:rsid w:val="003C6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australia.gov.au/Assessment-Framework-over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development.qld.gov.au/industry/infrastruc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2456B9CEB43F4A99E96AED49D11DE"/>
        <w:category>
          <w:name w:val="General"/>
          <w:gallery w:val="placeholder"/>
        </w:category>
        <w:types>
          <w:type w:val="bbPlcHdr"/>
        </w:types>
        <w:behaviors>
          <w:behavior w:val="content"/>
        </w:behaviors>
        <w:guid w:val="{5BEDD51F-6886-4866-9E6F-7E11C61F48B0}"/>
      </w:docPartPr>
      <w:docPartBody>
        <w:p w:rsidR="00FD2DAE" w:rsidRDefault="004C4EE0" w:rsidP="004C4EE0">
          <w:pPr>
            <w:pStyle w:val="DD62456B9CEB43F4A99E96AED49D11DE"/>
          </w:pPr>
          <w:r>
            <w:rPr>
              <w:rStyle w:val="PlaceholderText"/>
            </w:rPr>
            <w:t>[Title]</w:t>
          </w:r>
        </w:p>
      </w:docPartBody>
    </w:docPart>
    <w:docPart>
      <w:docPartPr>
        <w:name w:val="E1B1F677563D43938B107E74EB83C434"/>
        <w:category>
          <w:name w:val="General"/>
          <w:gallery w:val="placeholder"/>
        </w:category>
        <w:types>
          <w:type w:val="bbPlcHdr"/>
        </w:types>
        <w:behaviors>
          <w:behavior w:val="content"/>
        </w:behaviors>
        <w:guid w:val="{82815E6B-886C-4885-95A0-4844EEF516C0}"/>
      </w:docPartPr>
      <w:docPartBody>
        <w:p w:rsidR="00FD2DAE" w:rsidRDefault="004C4EE0" w:rsidP="004C4EE0">
          <w:pPr>
            <w:pStyle w:val="E1B1F677563D43938B107E74EB83C434"/>
          </w:pPr>
          <w:r>
            <w:rPr>
              <w:rStyle w:val="PlaceholderText"/>
            </w:rPr>
            <w:t>[Subject]</w:t>
          </w:r>
        </w:p>
      </w:docPartBody>
    </w:docPart>
    <w:docPart>
      <w:docPartPr>
        <w:name w:val="453493B4EE194C8A9CF0F7E517EA466D"/>
        <w:category>
          <w:name w:val="General"/>
          <w:gallery w:val="placeholder"/>
        </w:category>
        <w:types>
          <w:type w:val="bbPlcHdr"/>
        </w:types>
        <w:behaviors>
          <w:behavior w:val="content"/>
        </w:behaviors>
        <w:guid w:val="{8D934A47-24D3-4395-B9E0-A35051843FE2}"/>
      </w:docPartPr>
      <w:docPartBody>
        <w:p w:rsidR="002B6C4B" w:rsidRDefault="00022112" w:rsidP="00022112">
          <w:pPr>
            <w:pStyle w:val="453493B4EE194C8A9CF0F7E517EA466D"/>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0"/>
    <w:rsid w:val="00022112"/>
    <w:rsid w:val="000C48D8"/>
    <w:rsid w:val="00285EB1"/>
    <w:rsid w:val="002B6C4B"/>
    <w:rsid w:val="004C4EE0"/>
    <w:rsid w:val="005647B7"/>
    <w:rsid w:val="006A4A91"/>
    <w:rsid w:val="00A407C1"/>
    <w:rsid w:val="00B639CA"/>
    <w:rsid w:val="00D40249"/>
    <w:rsid w:val="00FC66F9"/>
    <w:rsid w:val="00FD2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112"/>
  </w:style>
  <w:style w:type="paragraph" w:customStyle="1" w:styleId="DD62456B9CEB43F4A99E96AED49D11DE">
    <w:name w:val="DD62456B9CEB43F4A99E96AED49D11DE"/>
    <w:rsid w:val="004C4EE0"/>
  </w:style>
  <w:style w:type="paragraph" w:customStyle="1" w:styleId="E1B1F677563D43938B107E74EB83C434">
    <w:name w:val="E1B1F677563D43938B107E74EB83C434"/>
    <w:rsid w:val="004C4EE0"/>
  </w:style>
  <w:style w:type="paragraph" w:customStyle="1" w:styleId="453493B4EE194C8A9CF0F7E517EA466D">
    <w:name w:val="453493B4EE194C8A9CF0F7E517EA466D"/>
    <w:rsid w:val="00022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has been marked with CC0 1.0 Unviersal. </comments>
  </documentManagement>
</p:properties>
</file>

<file path=customXml/itemProps1.xml><?xml version="1.0" encoding="utf-8"?>
<ds:datastoreItem xmlns:ds="http://schemas.openxmlformats.org/officeDocument/2006/customXml" ds:itemID="{605E5598-A80A-4DE0-8E54-128C41D3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23255E8B-6177-423A-8434-C94A74EEE5E8}">
  <ds:schemaRefs>
    <ds:schemaRef ds:uri="http://www.w3.org/XML/1998/namespace"/>
    <ds:schemaRef ds:uri="http://purl.org/dc/terms/"/>
    <ds:schemaRef ds:uri="http://schemas.microsoft.com/office/2006/metadata/properties"/>
    <ds:schemaRef ds:uri="0bc9e18d-4312-45e6-b82d-a02b142c0076"/>
    <ds:schemaRef ds:uri="http://schemas.microsoft.com/office/infopath/2007/PartnerControls"/>
    <ds:schemaRef ds:uri="http://schemas.openxmlformats.org/package/2006/metadata/core-properties"/>
    <ds:schemaRef ds:uri="http://schemas.microsoft.com/office/2006/documentManagement/types"/>
    <ds:schemaRef ds:uri="658a648c-f9ea-4a2f-975b-7ce25bdb4b8c"/>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9</Pages>
  <Words>2419</Words>
  <Characters>13963</Characters>
  <Application>Microsoft Office Word</Application>
  <DocSecurity>0</DocSecurity>
  <Lines>367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Advisory Services – Financial and Commercial</dc:subject>
  <dc:creator>Lydia Poteri</dc:creator>
  <cp:keywords/>
  <dc:description/>
  <cp:lastModifiedBy>Lydia Poteri</cp:lastModifiedBy>
  <cp:revision>20</cp:revision>
  <cp:lastPrinted>2025-08-07T05:04:00Z</cp:lastPrinted>
  <dcterms:created xsi:type="dcterms:W3CDTF">2025-12-16T01:54:00Z</dcterms:created>
  <dcterms:modified xsi:type="dcterms:W3CDTF">2025-12-22T05:23:00Z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